
<file path=[Content_Types].xml><?xml version="1.0" encoding="utf-8"?>
<Types xmlns="http://schemas.openxmlformats.org/package/2006/content-types">
  <Default Extension="xml" ContentType="application/xml"/>
  <Default Extension="gif" ContentType="image/gi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6178550" cy="1109345"/>
                <wp:effectExtent l="5080" t="4445" r="19050" b="13970"/>
                <wp:wrapNone/>
                <wp:docPr id="1" name="文本框 2"/>
                <wp:cNvGraphicFramePr/>
                <a:graphic xmlns:a="http://schemas.openxmlformats.org/drawingml/2006/main">
                  <a:graphicData uri="http://schemas.microsoft.com/office/word/2010/wordprocessingShape">
                    <wps:wsp>
                      <wps:cNvSpPr txBox="1"/>
                      <wps:spPr>
                        <a:xfrm>
                          <a:off x="0" y="0"/>
                          <a:ext cx="6178550" cy="1109345"/>
                        </a:xfrm>
                        <a:prstGeom prst="rect">
                          <a:avLst/>
                        </a:prstGeom>
                        <a:solidFill>
                          <a:srgbClr val="FFFFFF"/>
                        </a:solidFill>
                        <a:ln w="9525" cap="flat" cmpd="sng">
                          <a:solidFill>
                            <a:srgbClr val="000000"/>
                          </a:solidFill>
                          <a:prstDash val="solid"/>
                          <a:miter/>
                          <a:headEnd type="none" w="med" len="med"/>
                          <a:tailEnd type="none" w="med" len="med"/>
                        </a:ln>
                      </wps:spPr>
                      <wps:txbx>
                        <w:txbxContent>
                          <w:p/>
                          <w:tbl>
                            <w:tblPr>
                              <w:tblStyle w:val="8"/>
                              <w:tblW w:w="12900" w:type="dxa"/>
                              <w:tblCellSpacing w:w="0" w:type="dxa"/>
                              <w:tblInd w:w="0" w:type="dxa"/>
                              <w:tblLayout w:type="fixed"/>
                              <w:tblCellMar>
                                <w:top w:w="0" w:type="dxa"/>
                                <w:left w:w="0" w:type="dxa"/>
                                <w:bottom w:w="0" w:type="dxa"/>
                                <w:right w:w="0" w:type="dxa"/>
                              </w:tblCellMar>
                            </w:tblPr>
                            <w:tblGrid>
                              <w:gridCol w:w="1192"/>
                              <w:gridCol w:w="5258"/>
                              <w:gridCol w:w="1192"/>
                              <w:gridCol w:w="5258"/>
                            </w:tblGrid>
                            <w:tr>
                              <w:tblPrEx>
                                <w:tblLayout w:type="fixed"/>
                                <w:tblCellMar>
                                  <w:top w:w="0" w:type="dxa"/>
                                  <w:left w:w="0" w:type="dxa"/>
                                  <w:bottom w:w="0" w:type="dxa"/>
                                  <w:right w:w="0" w:type="dxa"/>
                                </w:tblCellMar>
                              </w:tblPrEx>
                              <w:trPr>
                                <w:tblCellSpacing w:w="0" w:type="dxa"/>
                              </w:trPr>
                              <w:tc>
                                <w:tcPr>
                                  <w:tcW w:w="1192"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b/>
                                      <w:bCs/>
                                      <w:kern w:val="0"/>
                                      <w:sz w:val="18"/>
                                      <w:szCs w:val="18"/>
                                    </w:rPr>
                                    <w:t>索 引 号：</w:t>
                                  </w:r>
                                </w:p>
                              </w:tc>
                              <w:tc>
                                <w:tcPr>
                                  <w:tcW w:w="5258" w:type="dxa"/>
                                  <w:tcMar>
                                    <w:top w:w="0" w:type="dxa"/>
                                    <w:left w:w="75" w:type="dxa"/>
                                    <w:bottom w:w="0" w:type="dxa"/>
                                    <w:right w:w="0" w:type="dxa"/>
                                  </w:tcMar>
                                  <w:vAlign w:val="center"/>
                                </w:tcPr>
                                <w:p>
                                  <w:pPr>
                                    <w:widowControl/>
                                    <w:spacing w:line="300" w:lineRule="atLeast"/>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rPr>
                                    <w:t>BJB-GF-0</w:t>
                                  </w:r>
                                  <w:r>
                                    <w:rPr>
                                      <w:rFonts w:hint="eastAsia" w:ascii="宋体" w:hAnsi="宋体" w:eastAsia="宋体" w:cs="宋体"/>
                                      <w:kern w:val="0"/>
                                      <w:sz w:val="18"/>
                                      <w:szCs w:val="18"/>
                                      <w:lang w:val="en-US" w:eastAsia="zh-CN"/>
                                    </w:rPr>
                                    <w:t>15</w:t>
                                  </w:r>
                                </w:p>
                              </w:tc>
                              <w:tc>
                                <w:tcPr>
                                  <w:tcW w:w="1192"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hint="eastAsia" w:ascii="宋体" w:hAnsi="宋体" w:eastAsia="宋体" w:cs="宋体"/>
                                      <w:b/>
                                      <w:bCs/>
                                      <w:kern w:val="0"/>
                                      <w:sz w:val="18"/>
                                      <w:szCs w:val="18"/>
                                    </w:rPr>
                                    <w:t xml:space="preserve"> </w:t>
                                  </w:r>
                                </w:p>
                              </w:tc>
                              <w:tc>
                                <w:tcPr>
                                  <w:tcW w:w="5258"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r>
                            <w:tr>
                              <w:tblPrEx>
                                <w:tblLayout w:type="fixed"/>
                                <w:tblCellMar>
                                  <w:top w:w="0" w:type="dxa"/>
                                  <w:left w:w="0" w:type="dxa"/>
                                  <w:bottom w:w="0" w:type="dxa"/>
                                  <w:right w:w="0" w:type="dxa"/>
                                </w:tblCellMar>
                              </w:tblPrEx>
                              <w:trPr>
                                <w:tblCellSpacing w:w="0" w:type="dxa"/>
                              </w:trPr>
                              <w:tc>
                                <w:tcPr>
                                  <w:tcW w:w="1192"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b/>
                                      <w:bCs/>
                                      <w:kern w:val="0"/>
                                      <w:sz w:val="18"/>
                                      <w:szCs w:val="18"/>
                                    </w:rPr>
                                    <w:t>发文机关：</w:t>
                                  </w:r>
                                </w:p>
                              </w:tc>
                              <w:tc>
                                <w:tcPr>
                                  <w:tcW w:w="5258" w:type="dxa"/>
                                  <w:tcMar>
                                    <w:top w:w="0" w:type="dxa"/>
                                    <w:left w:w="75" w:type="dxa"/>
                                    <w:bottom w:w="0" w:type="dxa"/>
                                    <w:right w:w="0" w:type="dxa"/>
                                  </w:tcMar>
                                  <w:vAlign w:val="center"/>
                                </w:tcPr>
                                <w:p>
                                  <w:pPr>
                                    <w:widowControl/>
                                    <w:spacing w:line="300" w:lineRule="atLeast"/>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中华医学会妇产科分会产科学组</w:t>
                                  </w:r>
                                </w:p>
                              </w:tc>
                              <w:tc>
                                <w:tcPr>
                                  <w:tcW w:w="1192"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b/>
                                      <w:bCs/>
                                      <w:kern w:val="0"/>
                                      <w:sz w:val="18"/>
                                      <w:szCs w:val="18"/>
                                    </w:rPr>
                                    <w:t>成文日期：</w:t>
                                  </w:r>
                                </w:p>
                              </w:tc>
                              <w:tc>
                                <w:tcPr>
                                  <w:tcW w:w="5258"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hint="eastAsia" w:ascii="宋体" w:hAnsi="宋体" w:eastAsia="宋体" w:cs="宋体"/>
                                      <w:kern w:val="0"/>
                                      <w:sz w:val="18"/>
                                      <w:szCs w:val="18"/>
                                    </w:rPr>
                                    <w:t>20</w:t>
                                  </w:r>
                                  <w:r>
                                    <w:rPr>
                                      <w:rFonts w:hint="eastAsia" w:ascii="宋体" w:hAnsi="宋体" w:eastAsia="宋体" w:cs="宋体"/>
                                      <w:kern w:val="0"/>
                                      <w:sz w:val="18"/>
                                      <w:szCs w:val="18"/>
                                      <w:lang w:val="en-US" w:eastAsia="zh-CN"/>
                                    </w:rPr>
                                    <w:t>18</w:t>
                                  </w:r>
                                  <w:r>
                                    <w:rPr>
                                      <w:rFonts w:hint="eastAsia" w:ascii="宋体" w:hAnsi="宋体" w:eastAsia="宋体" w:cs="宋体"/>
                                      <w:kern w:val="0"/>
                                      <w:sz w:val="18"/>
                                      <w:szCs w:val="18"/>
                                    </w:rPr>
                                    <w:t>年</w:t>
                                  </w:r>
                                  <w:r>
                                    <w:rPr>
                                      <w:rFonts w:hint="eastAsia" w:ascii="宋体" w:hAnsi="宋体" w:eastAsia="宋体" w:cs="宋体"/>
                                      <w:kern w:val="0"/>
                                      <w:sz w:val="18"/>
                                      <w:szCs w:val="18"/>
                                      <w:lang w:val="en-US" w:eastAsia="zh-CN"/>
                                    </w:rPr>
                                    <w:t>01</w:t>
                                  </w:r>
                                  <w:r>
                                    <w:rPr>
                                      <w:rFonts w:hint="eastAsia" w:ascii="宋体" w:hAnsi="宋体" w:eastAsia="宋体" w:cs="宋体"/>
                                      <w:kern w:val="0"/>
                                      <w:sz w:val="18"/>
                                      <w:szCs w:val="18"/>
                                    </w:rPr>
                                    <w:t>月</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日</w:t>
                                  </w:r>
                                </w:p>
                              </w:tc>
                            </w:tr>
                            <w:tr>
                              <w:tblPrEx>
                                <w:tblLayout w:type="fixed"/>
                                <w:tblCellMar>
                                  <w:top w:w="0" w:type="dxa"/>
                                  <w:left w:w="0" w:type="dxa"/>
                                  <w:bottom w:w="0" w:type="dxa"/>
                                  <w:right w:w="0" w:type="dxa"/>
                                </w:tblCellMar>
                              </w:tblPrEx>
                              <w:trPr>
                                <w:tblCellSpacing w:w="0" w:type="dxa"/>
                              </w:trPr>
                              <w:tc>
                                <w:tcPr>
                                  <w:tcW w:w="1192"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b/>
                                      <w:bCs/>
                                      <w:kern w:val="0"/>
                                      <w:sz w:val="18"/>
                                      <w:szCs w:val="18"/>
                                    </w:rPr>
                                    <w:t>标　　题：</w:t>
                                  </w:r>
                                </w:p>
                              </w:tc>
                              <w:tc>
                                <w:tcPr>
                                  <w:tcW w:w="11708" w:type="dxa"/>
                                  <w:gridSpan w:val="3"/>
                                  <w:tcMar>
                                    <w:top w:w="0" w:type="dxa"/>
                                    <w:left w:w="75" w:type="dxa"/>
                                    <w:bottom w:w="0" w:type="dxa"/>
                                    <w:right w:w="0" w:type="dxa"/>
                                  </w:tcMar>
                                  <w:vAlign w:val="center"/>
                                </w:tcPr>
                                <w:p>
                                  <w:pPr>
                                    <w:widowControl/>
                                    <w:spacing w:line="300" w:lineRule="atLeast"/>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孕前和孕期保健指南（</w:t>
                                  </w:r>
                                  <w:r>
                                    <w:rPr>
                                      <w:rFonts w:hint="eastAsia" w:ascii="宋体" w:hAnsi="宋体" w:eastAsia="宋体" w:cs="宋体"/>
                                      <w:kern w:val="0"/>
                                      <w:sz w:val="18"/>
                                      <w:szCs w:val="18"/>
                                      <w:lang w:val="en-US" w:eastAsia="zh-CN"/>
                                    </w:rPr>
                                    <w:t>2018版</w:t>
                                  </w:r>
                                  <w:r>
                                    <w:rPr>
                                      <w:rFonts w:hint="eastAsia" w:ascii="宋体" w:hAnsi="宋体" w:eastAsia="宋体" w:cs="宋体"/>
                                      <w:kern w:val="0"/>
                                      <w:sz w:val="18"/>
                                      <w:szCs w:val="18"/>
                                      <w:lang w:eastAsia="zh-CN"/>
                                    </w:rPr>
                                    <w:t>）</w:t>
                                  </w:r>
                                </w:p>
                              </w:tc>
                            </w:tr>
                            <w:tr>
                              <w:tblPrEx>
                                <w:tblLayout w:type="fixed"/>
                                <w:tblCellMar>
                                  <w:top w:w="0" w:type="dxa"/>
                                  <w:left w:w="0" w:type="dxa"/>
                                  <w:bottom w:w="0" w:type="dxa"/>
                                  <w:right w:w="0" w:type="dxa"/>
                                </w:tblCellMar>
                              </w:tblPrEx>
                              <w:trPr>
                                <w:tblCellSpacing w:w="0" w:type="dxa"/>
                              </w:trPr>
                              <w:tc>
                                <w:tcPr>
                                  <w:tcW w:w="1192"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b/>
                                      <w:bCs/>
                                      <w:kern w:val="0"/>
                                      <w:sz w:val="18"/>
                                      <w:szCs w:val="18"/>
                                    </w:rPr>
                                    <w:t>发文字号：</w:t>
                                  </w:r>
                                </w:p>
                              </w:tc>
                              <w:tc>
                                <w:tcPr>
                                  <w:tcW w:w="5258" w:type="dxa"/>
                                  <w:tcMar>
                                    <w:top w:w="0" w:type="dxa"/>
                                    <w:left w:w="75" w:type="dxa"/>
                                    <w:bottom w:w="0" w:type="dxa"/>
                                    <w:right w:w="0" w:type="dxa"/>
                                  </w:tcMar>
                                  <w:vAlign w:val="center"/>
                                </w:tcPr>
                                <w:p>
                                  <w:pPr>
                                    <w:widowControl/>
                                    <w:spacing w:line="300" w:lineRule="atLeast"/>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中华妇产科杂志</w:t>
                                  </w:r>
                                  <w:r>
                                    <w:rPr>
                                      <w:rFonts w:hint="eastAsia" w:ascii="宋体" w:hAnsi="宋体" w:eastAsia="宋体" w:cs="宋体"/>
                                      <w:kern w:val="0"/>
                                      <w:sz w:val="18"/>
                                      <w:szCs w:val="18"/>
                                      <w:lang w:val="en-US" w:eastAsia="zh-CN"/>
                                    </w:rPr>
                                    <w:t>1月第53卷第1期第7-13页</w:t>
                                  </w:r>
                                </w:p>
                              </w:tc>
                              <w:tc>
                                <w:tcPr>
                                  <w:tcW w:w="1192"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b/>
                                      <w:bCs/>
                                      <w:kern w:val="0"/>
                                      <w:sz w:val="18"/>
                                      <w:szCs w:val="18"/>
                                    </w:rPr>
                                    <w:t>发布日期：</w:t>
                                  </w:r>
                                </w:p>
                              </w:tc>
                              <w:tc>
                                <w:tcPr>
                                  <w:tcW w:w="5258"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kern w:val="0"/>
                                      <w:sz w:val="18"/>
                                      <w:szCs w:val="18"/>
                                    </w:rPr>
                                    <w:t>20</w:t>
                                  </w:r>
                                  <w:r>
                                    <w:rPr>
                                      <w:rFonts w:hint="eastAsia" w:ascii="宋体" w:hAnsi="宋体" w:eastAsia="宋体" w:cs="宋体"/>
                                      <w:kern w:val="0"/>
                                      <w:sz w:val="18"/>
                                      <w:szCs w:val="18"/>
                                      <w:lang w:val="en-US" w:eastAsia="zh-CN"/>
                                    </w:rPr>
                                    <w:t>18</w:t>
                                  </w:r>
                                  <w:r>
                                    <w:rPr>
                                      <w:rFonts w:ascii="宋体" w:hAnsi="宋体" w:eastAsia="宋体" w:cs="宋体"/>
                                      <w:kern w:val="0"/>
                                      <w:sz w:val="18"/>
                                      <w:szCs w:val="18"/>
                                    </w:rPr>
                                    <w:t>年</w:t>
                                  </w:r>
                                  <w:r>
                                    <w:rPr>
                                      <w:rFonts w:hint="eastAsia" w:ascii="宋体" w:hAnsi="宋体" w:eastAsia="宋体" w:cs="宋体"/>
                                      <w:kern w:val="0"/>
                                      <w:sz w:val="18"/>
                                      <w:szCs w:val="18"/>
                                      <w:lang w:val="en-US" w:eastAsia="zh-CN"/>
                                    </w:rPr>
                                    <w:t>01</w:t>
                                  </w:r>
                                  <w:r>
                                    <w:rPr>
                                      <w:rFonts w:ascii="宋体" w:hAnsi="宋体" w:eastAsia="宋体" w:cs="宋体"/>
                                      <w:kern w:val="0"/>
                                      <w:sz w:val="18"/>
                                      <w:szCs w:val="18"/>
                                    </w:rPr>
                                    <w:t>月</w:t>
                                  </w:r>
                                  <w:r>
                                    <w:rPr>
                                      <w:rFonts w:hint="eastAsia" w:ascii="宋体" w:hAnsi="宋体" w:eastAsia="宋体" w:cs="宋体"/>
                                      <w:kern w:val="0"/>
                                      <w:sz w:val="18"/>
                                      <w:szCs w:val="18"/>
                                      <w:lang w:val="en-US" w:eastAsia="zh-CN"/>
                                    </w:rPr>
                                    <w:t>20</w:t>
                                  </w:r>
                                  <w:r>
                                    <w:rPr>
                                      <w:rFonts w:ascii="宋体" w:hAnsi="宋体" w:eastAsia="宋体" w:cs="宋体"/>
                                      <w:kern w:val="0"/>
                                      <w:sz w:val="18"/>
                                      <w:szCs w:val="18"/>
                                    </w:rPr>
                                    <w:t>日</w:t>
                                  </w:r>
                                </w:p>
                              </w:tc>
                            </w:tr>
                          </w:tbl>
                          <w:p>
                            <w:pPr>
                              <w:widowControl/>
                              <w:jc w:val="left"/>
                              <w:rPr>
                                <w:rFonts w:ascii="宋体" w:hAnsi="宋体" w:eastAsia="宋体" w:cs="宋体"/>
                                <w:vanish/>
                                <w:kern w:val="0"/>
                                <w:sz w:val="24"/>
                                <w:szCs w:val="24"/>
                              </w:rPr>
                            </w:pPr>
                          </w:p>
                          <w:tbl>
                            <w:tblPr>
                              <w:tblStyle w:val="8"/>
                              <w:tblW w:w="12900" w:type="dxa"/>
                              <w:tblCellSpacing w:w="0" w:type="dxa"/>
                              <w:tblInd w:w="0" w:type="dxa"/>
                              <w:tblLayout w:type="fixed"/>
                              <w:tblCellMar>
                                <w:top w:w="0" w:type="dxa"/>
                                <w:left w:w="0" w:type="dxa"/>
                                <w:bottom w:w="0" w:type="dxa"/>
                                <w:right w:w="0" w:type="dxa"/>
                              </w:tblCellMar>
                            </w:tblPr>
                            <w:tblGrid>
                              <w:gridCol w:w="12900"/>
                            </w:tblGrid>
                            <w:tr>
                              <w:tblPrEx>
                                <w:tblLayout w:type="fixed"/>
                                <w:tblCellMar>
                                  <w:top w:w="0" w:type="dxa"/>
                                  <w:left w:w="0" w:type="dxa"/>
                                  <w:bottom w:w="0" w:type="dxa"/>
                                  <w:right w:w="0" w:type="dxa"/>
                                </w:tblCellMar>
                              </w:tblPrEx>
                              <w:trPr>
                                <w:tblCellSpacing w:w="0" w:type="dxa"/>
                              </w:trPr>
                              <w:tc>
                                <w:tcPr>
                                  <w:tcW w:w="12900" w:type="dxa"/>
                                  <w:shd w:val="clear" w:color="auto" w:fill="FFFFFF"/>
                                  <w:tcMar>
                                    <w:top w:w="0" w:type="dxa"/>
                                    <w:left w:w="75" w:type="dxa"/>
                                    <w:bottom w:w="0" w:type="dxa"/>
                                    <w:right w:w="0" w:type="dxa"/>
                                  </w:tcMar>
                                </w:tcPr>
                                <w:p>
                                  <w:pPr>
                                    <w:widowControl/>
                                    <w:spacing w:line="300" w:lineRule="atLeast"/>
                                    <w:jc w:val="left"/>
                                    <w:rPr>
                                      <w:rFonts w:ascii="宋体" w:hAnsi="宋体" w:eastAsia="宋体" w:cs="宋体"/>
                                      <w:color w:val="333333"/>
                                      <w:kern w:val="0"/>
                                      <w:sz w:val="18"/>
                                      <w:szCs w:val="18"/>
                                    </w:rPr>
                                  </w:pPr>
                                </w:p>
                              </w:tc>
                            </w:tr>
                          </w:tbl>
                          <w:p/>
                        </w:txbxContent>
                      </wps:txbx>
                      <wps:bodyPr vert="horz" anchor="t" upright="1"/>
                    </wps:wsp>
                  </a:graphicData>
                </a:graphic>
              </wp:anchor>
            </w:drawing>
          </mc:Choice>
          <mc:Fallback>
            <w:pict>
              <v:shape id="文本框 2" o:spid="_x0000_s1026" o:spt="202" type="#_x0000_t202" style="position:absolute;left:0pt;margin-top:0pt;height:87.35pt;width:486.5pt;mso-position-horizontal:center;z-index:251660288;mso-width-relative:page;mso-height-relative:page;" fillcolor="#FFFFFF" filled="t" stroked="t" coordsize="21600,21600" o:gfxdata="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Twk1vVAAAABQEAAA8AAAAAAAAAAQAgAAAAIgAAAGRycy9kb3ducmV2&#10;LnhtbFBLAQIUABQAAAAIAIdO4kCp7l/D/wEAAAAEAAAOAAAAAAAAAAEAIAAAACQBAABkcnMvZTJv&#10;RG9jLnhtbFBLBQYAAAAABgAGAFkBAACVBQAAAAA=&#10;">
                <v:fill on="t" focussize="0,0"/>
                <v:stroke color="#000000" joinstyle="miter"/>
                <v:imagedata o:title=""/>
                <o:lock v:ext="edit" aspectratio="f"/>
                <v:textbox>
                  <w:txbxContent>
                    <w:p/>
                    <w:tbl>
                      <w:tblPr>
                        <w:tblStyle w:val="8"/>
                        <w:tblW w:w="12900" w:type="dxa"/>
                        <w:tblCellSpacing w:w="0" w:type="dxa"/>
                        <w:tblInd w:w="0" w:type="dxa"/>
                        <w:tblLayout w:type="fixed"/>
                        <w:tblCellMar>
                          <w:top w:w="0" w:type="dxa"/>
                          <w:left w:w="0" w:type="dxa"/>
                          <w:bottom w:w="0" w:type="dxa"/>
                          <w:right w:w="0" w:type="dxa"/>
                        </w:tblCellMar>
                      </w:tblPr>
                      <w:tblGrid>
                        <w:gridCol w:w="1192"/>
                        <w:gridCol w:w="5258"/>
                        <w:gridCol w:w="1192"/>
                        <w:gridCol w:w="5258"/>
                      </w:tblGrid>
                      <w:tr>
                        <w:tblPrEx>
                          <w:tblLayout w:type="fixed"/>
                          <w:tblCellMar>
                            <w:top w:w="0" w:type="dxa"/>
                            <w:left w:w="0" w:type="dxa"/>
                            <w:bottom w:w="0" w:type="dxa"/>
                            <w:right w:w="0" w:type="dxa"/>
                          </w:tblCellMar>
                        </w:tblPrEx>
                        <w:trPr>
                          <w:tblCellSpacing w:w="0" w:type="dxa"/>
                        </w:trPr>
                        <w:tc>
                          <w:tcPr>
                            <w:tcW w:w="1192"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b/>
                                <w:bCs/>
                                <w:kern w:val="0"/>
                                <w:sz w:val="18"/>
                                <w:szCs w:val="18"/>
                              </w:rPr>
                              <w:t>索 引 号：</w:t>
                            </w:r>
                          </w:p>
                        </w:tc>
                        <w:tc>
                          <w:tcPr>
                            <w:tcW w:w="5258" w:type="dxa"/>
                            <w:tcMar>
                              <w:top w:w="0" w:type="dxa"/>
                              <w:left w:w="75" w:type="dxa"/>
                              <w:bottom w:w="0" w:type="dxa"/>
                              <w:right w:w="0" w:type="dxa"/>
                            </w:tcMar>
                            <w:vAlign w:val="center"/>
                          </w:tcPr>
                          <w:p>
                            <w:pPr>
                              <w:widowControl/>
                              <w:spacing w:line="300" w:lineRule="atLeast"/>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rPr>
                              <w:t>BJB-GF-0</w:t>
                            </w:r>
                            <w:r>
                              <w:rPr>
                                <w:rFonts w:hint="eastAsia" w:ascii="宋体" w:hAnsi="宋体" w:eastAsia="宋体" w:cs="宋体"/>
                                <w:kern w:val="0"/>
                                <w:sz w:val="18"/>
                                <w:szCs w:val="18"/>
                                <w:lang w:val="en-US" w:eastAsia="zh-CN"/>
                              </w:rPr>
                              <w:t>15</w:t>
                            </w:r>
                          </w:p>
                        </w:tc>
                        <w:tc>
                          <w:tcPr>
                            <w:tcW w:w="1192"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hint="eastAsia" w:ascii="宋体" w:hAnsi="宋体" w:eastAsia="宋体" w:cs="宋体"/>
                                <w:b/>
                                <w:bCs/>
                                <w:kern w:val="0"/>
                                <w:sz w:val="18"/>
                                <w:szCs w:val="18"/>
                              </w:rPr>
                              <w:t xml:space="preserve"> </w:t>
                            </w:r>
                          </w:p>
                        </w:tc>
                        <w:tc>
                          <w:tcPr>
                            <w:tcW w:w="5258"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r>
                      <w:tr>
                        <w:tblPrEx>
                          <w:tblLayout w:type="fixed"/>
                          <w:tblCellMar>
                            <w:top w:w="0" w:type="dxa"/>
                            <w:left w:w="0" w:type="dxa"/>
                            <w:bottom w:w="0" w:type="dxa"/>
                            <w:right w:w="0" w:type="dxa"/>
                          </w:tblCellMar>
                        </w:tblPrEx>
                        <w:trPr>
                          <w:tblCellSpacing w:w="0" w:type="dxa"/>
                        </w:trPr>
                        <w:tc>
                          <w:tcPr>
                            <w:tcW w:w="1192"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b/>
                                <w:bCs/>
                                <w:kern w:val="0"/>
                                <w:sz w:val="18"/>
                                <w:szCs w:val="18"/>
                              </w:rPr>
                              <w:t>发文机关：</w:t>
                            </w:r>
                          </w:p>
                        </w:tc>
                        <w:tc>
                          <w:tcPr>
                            <w:tcW w:w="5258" w:type="dxa"/>
                            <w:tcMar>
                              <w:top w:w="0" w:type="dxa"/>
                              <w:left w:w="75" w:type="dxa"/>
                              <w:bottom w:w="0" w:type="dxa"/>
                              <w:right w:w="0" w:type="dxa"/>
                            </w:tcMar>
                            <w:vAlign w:val="center"/>
                          </w:tcPr>
                          <w:p>
                            <w:pPr>
                              <w:widowControl/>
                              <w:spacing w:line="300" w:lineRule="atLeast"/>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中华医学会妇产科分会产科学组</w:t>
                            </w:r>
                          </w:p>
                        </w:tc>
                        <w:tc>
                          <w:tcPr>
                            <w:tcW w:w="1192"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b/>
                                <w:bCs/>
                                <w:kern w:val="0"/>
                                <w:sz w:val="18"/>
                                <w:szCs w:val="18"/>
                              </w:rPr>
                              <w:t>成文日期：</w:t>
                            </w:r>
                          </w:p>
                        </w:tc>
                        <w:tc>
                          <w:tcPr>
                            <w:tcW w:w="5258"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hint="eastAsia" w:ascii="宋体" w:hAnsi="宋体" w:eastAsia="宋体" w:cs="宋体"/>
                                <w:kern w:val="0"/>
                                <w:sz w:val="18"/>
                                <w:szCs w:val="18"/>
                              </w:rPr>
                              <w:t>20</w:t>
                            </w:r>
                            <w:r>
                              <w:rPr>
                                <w:rFonts w:hint="eastAsia" w:ascii="宋体" w:hAnsi="宋体" w:eastAsia="宋体" w:cs="宋体"/>
                                <w:kern w:val="0"/>
                                <w:sz w:val="18"/>
                                <w:szCs w:val="18"/>
                                <w:lang w:val="en-US" w:eastAsia="zh-CN"/>
                              </w:rPr>
                              <w:t>18</w:t>
                            </w:r>
                            <w:r>
                              <w:rPr>
                                <w:rFonts w:hint="eastAsia" w:ascii="宋体" w:hAnsi="宋体" w:eastAsia="宋体" w:cs="宋体"/>
                                <w:kern w:val="0"/>
                                <w:sz w:val="18"/>
                                <w:szCs w:val="18"/>
                              </w:rPr>
                              <w:t>年</w:t>
                            </w:r>
                            <w:r>
                              <w:rPr>
                                <w:rFonts w:hint="eastAsia" w:ascii="宋体" w:hAnsi="宋体" w:eastAsia="宋体" w:cs="宋体"/>
                                <w:kern w:val="0"/>
                                <w:sz w:val="18"/>
                                <w:szCs w:val="18"/>
                                <w:lang w:val="en-US" w:eastAsia="zh-CN"/>
                              </w:rPr>
                              <w:t>01</w:t>
                            </w:r>
                            <w:r>
                              <w:rPr>
                                <w:rFonts w:hint="eastAsia" w:ascii="宋体" w:hAnsi="宋体" w:eastAsia="宋体" w:cs="宋体"/>
                                <w:kern w:val="0"/>
                                <w:sz w:val="18"/>
                                <w:szCs w:val="18"/>
                              </w:rPr>
                              <w:t>月</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日</w:t>
                            </w:r>
                          </w:p>
                        </w:tc>
                      </w:tr>
                      <w:tr>
                        <w:tblPrEx>
                          <w:tblLayout w:type="fixed"/>
                          <w:tblCellMar>
                            <w:top w:w="0" w:type="dxa"/>
                            <w:left w:w="0" w:type="dxa"/>
                            <w:bottom w:w="0" w:type="dxa"/>
                            <w:right w:w="0" w:type="dxa"/>
                          </w:tblCellMar>
                        </w:tblPrEx>
                        <w:trPr>
                          <w:tblCellSpacing w:w="0" w:type="dxa"/>
                        </w:trPr>
                        <w:tc>
                          <w:tcPr>
                            <w:tcW w:w="1192"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b/>
                                <w:bCs/>
                                <w:kern w:val="0"/>
                                <w:sz w:val="18"/>
                                <w:szCs w:val="18"/>
                              </w:rPr>
                              <w:t>标　　题：</w:t>
                            </w:r>
                          </w:p>
                        </w:tc>
                        <w:tc>
                          <w:tcPr>
                            <w:tcW w:w="11708" w:type="dxa"/>
                            <w:gridSpan w:val="3"/>
                            <w:tcMar>
                              <w:top w:w="0" w:type="dxa"/>
                              <w:left w:w="75" w:type="dxa"/>
                              <w:bottom w:w="0" w:type="dxa"/>
                              <w:right w:w="0" w:type="dxa"/>
                            </w:tcMar>
                            <w:vAlign w:val="center"/>
                          </w:tcPr>
                          <w:p>
                            <w:pPr>
                              <w:widowControl/>
                              <w:spacing w:line="300" w:lineRule="atLeast"/>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孕前和孕期保健指南（</w:t>
                            </w:r>
                            <w:r>
                              <w:rPr>
                                <w:rFonts w:hint="eastAsia" w:ascii="宋体" w:hAnsi="宋体" w:eastAsia="宋体" w:cs="宋体"/>
                                <w:kern w:val="0"/>
                                <w:sz w:val="18"/>
                                <w:szCs w:val="18"/>
                                <w:lang w:val="en-US" w:eastAsia="zh-CN"/>
                              </w:rPr>
                              <w:t>2018版</w:t>
                            </w:r>
                            <w:r>
                              <w:rPr>
                                <w:rFonts w:hint="eastAsia" w:ascii="宋体" w:hAnsi="宋体" w:eastAsia="宋体" w:cs="宋体"/>
                                <w:kern w:val="0"/>
                                <w:sz w:val="18"/>
                                <w:szCs w:val="18"/>
                                <w:lang w:eastAsia="zh-CN"/>
                              </w:rPr>
                              <w:t>）</w:t>
                            </w:r>
                          </w:p>
                        </w:tc>
                      </w:tr>
                      <w:tr>
                        <w:tblPrEx>
                          <w:tblLayout w:type="fixed"/>
                          <w:tblCellMar>
                            <w:top w:w="0" w:type="dxa"/>
                            <w:left w:w="0" w:type="dxa"/>
                            <w:bottom w:w="0" w:type="dxa"/>
                            <w:right w:w="0" w:type="dxa"/>
                          </w:tblCellMar>
                        </w:tblPrEx>
                        <w:trPr>
                          <w:tblCellSpacing w:w="0" w:type="dxa"/>
                        </w:trPr>
                        <w:tc>
                          <w:tcPr>
                            <w:tcW w:w="1192"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b/>
                                <w:bCs/>
                                <w:kern w:val="0"/>
                                <w:sz w:val="18"/>
                                <w:szCs w:val="18"/>
                              </w:rPr>
                              <w:t>发文字号：</w:t>
                            </w:r>
                          </w:p>
                        </w:tc>
                        <w:tc>
                          <w:tcPr>
                            <w:tcW w:w="5258" w:type="dxa"/>
                            <w:tcMar>
                              <w:top w:w="0" w:type="dxa"/>
                              <w:left w:w="75" w:type="dxa"/>
                              <w:bottom w:w="0" w:type="dxa"/>
                              <w:right w:w="0" w:type="dxa"/>
                            </w:tcMar>
                            <w:vAlign w:val="center"/>
                          </w:tcPr>
                          <w:p>
                            <w:pPr>
                              <w:widowControl/>
                              <w:spacing w:line="300" w:lineRule="atLeast"/>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中华妇产科杂志</w:t>
                            </w:r>
                            <w:r>
                              <w:rPr>
                                <w:rFonts w:hint="eastAsia" w:ascii="宋体" w:hAnsi="宋体" w:eastAsia="宋体" w:cs="宋体"/>
                                <w:kern w:val="0"/>
                                <w:sz w:val="18"/>
                                <w:szCs w:val="18"/>
                                <w:lang w:val="en-US" w:eastAsia="zh-CN"/>
                              </w:rPr>
                              <w:t>1月第53卷第1期第7-13页</w:t>
                            </w:r>
                          </w:p>
                        </w:tc>
                        <w:tc>
                          <w:tcPr>
                            <w:tcW w:w="1192"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b/>
                                <w:bCs/>
                                <w:kern w:val="0"/>
                                <w:sz w:val="18"/>
                                <w:szCs w:val="18"/>
                              </w:rPr>
                              <w:t>发布日期：</w:t>
                            </w:r>
                          </w:p>
                        </w:tc>
                        <w:tc>
                          <w:tcPr>
                            <w:tcW w:w="5258" w:type="dxa"/>
                            <w:tcMar>
                              <w:top w:w="0" w:type="dxa"/>
                              <w:left w:w="75" w:type="dxa"/>
                              <w:bottom w:w="0" w:type="dxa"/>
                              <w:right w:w="0" w:type="dxa"/>
                            </w:tcMar>
                            <w:vAlign w:val="center"/>
                          </w:tcPr>
                          <w:p>
                            <w:pPr>
                              <w:widowControl/>
                              <w:spacing w:line="300" w:lineRule="atLeast"/>
                              <w:jc w:val="left"/>
                              <w:rPr>
                                <w:rFonts w:ascii="宋体" w:hAnsi="宋体" w:eastAsia="宋体" w:cs="宋体"/>
                                <w:kern w:val="0"/>
                                <w:sz w:val="18"/>
                                <w:szCs w:val="18"/>
                              </w:rPr>
                            </w:pPr>
                            <w:r>
                              <w:rPr>
                                <w:rFonts w:ascii="宋体" w:hAnsi="宋体" w:eastAsia="宋体" w:cs="宋体"/>
                                <w:kern w:val="0"/>
                                <w:sz w:val="18"/>
                                <w:szCs w:val="18"/>
                              </w:rPr>
                              <w:t>20</w:t>
                            </w:r>
                            <w:r>
                              <w:rPr>
                                <w:rFonts w:hint="eastAsia" w:ascii="宋体" w:hAnsi="宋体" w:eastAsia="宋体" w:cs="宋体"/>
                                <w:kern w:val="0"/>
                                <w:sz w:val="18"/>
                                <w:szCs w:val="18"/>
                                <w:lang w:val="en-US" w:eastAsia="zh-CN"/>
                              </w:rPr>
                              <w:t>18</w:t>
                            </w:r>
                            <w:r>
                              <w:rPr>
                                <w:rFonts w:ascii="宋体" w:hAnsi="宋体" w:eastAsia="宋体" w:cs="宋体"/>
                                <w:kern w:val="0"/>
                                <w:sz w:val="18"/>
                                <w:szCs w:val="18"/>
                              </w:rPr>
                              <w:t>年</w:t>
                            </w:r>
                            <w:r>
                              <w:rPr>
                                <w:rFonts w:hint="eastAsia" w:ascii="宋体" w:hAnsi="宋体" w:eastAsia="宋体" w:cs="宋体"/>
                                <w:kern w:val="0"/>
                                <w:sz w:val="18"/>
                                <w:szCs w:val="18"/>
                                <w:lang w:val="en-US" w:eastAsia="zh-CN"/>
                              </w:rPr>
                              <w:t>01</w:t>
                            </w:r>
                            <w:r>
                              <w:rPr>
                                <w:rFonts w:ascii="宋体" w:hAnsi="宋体" w:eastAsia="宋体" w:cs="宋体"/>
                                <w:kern w:val="0"/>
                                <w:sz w:val="18"/>
                                <w:szCs w:val="18"/>
                              </w:rPr>
                              <w:t>月</w:t>
                            </w:r>
                            <w:r>
                              <w:rPr>
                                <w:rFonts w:hint="eastAsia" w:ascii="宋体" w:hAnsi="宋体" w:eastAsia="宋体" w:cs="宋体"/>
                                <w:kern w:val="0"/>
                                <w:sz w:val="18"/>
                                <w:szCs w:val="18"/>
                                <w:lang w:val="en-US" w:eastAsia="zh-CN"/>
                              </w:rPr>
                              <w:t>20</w:t>
                            </w:r>
                            <w:r>
                              <w:rPr>
                                <w:rFonts w:ascii="宋体" w:hAnsi="宋体" w:eastAsia="宋体" w:cs="宋体"/>
                                <w:kern w:val="0"/>
                                <w:sz w:val="18"/>
                                <w:szCs w:val="18"/>
                              </w:rPr>
                              <w:t>日</w:t>
                            </w:r>
                          </w:p>
                        </w:tc>
                      </w:tr>
                    </w:tbl>
                    <w:p>
                      <w:pPr>
                        <w:widowControl/>
                        <w:jc w:val="left"/>
                        <w:rPr>
                          <w:rFonts w:ascii="宋体" w:hAnsi="宋体" w:eastAsia="宋体" w:cs="宋体"/>
                          <w:vanish/>
                          <w:kern w:val="0"/>
                          <w:sz w:val="24"/>
                          <w:szCs w:val="24"/>
                        </w:rPr>
                      </w:pPr>
                    </w:p>
                    <w:tbl>
                      <w:tblPr>
                        <w:tblStyle w:val="8"/>
                        <w:tblW w:w="12900" w:type="dxa"/>
                        <w:tblCellSpacing w:w="0" w:type="dxa"/>
                        <w:tblInd w:w="0" w:type="dxa"/>
                        <w:tblLayout w:type="fixed"/>
                        <w:tblCellMar>
                          <w:top w:w="0" w:type="dxa"/>
                          <w:left w:w="0" w:type="dxa"/>
                          <w:bottom w:w="0" w:type="dxa"/>
                          <w:right w:w="0" w:type="dxa"/>
                        </w:tblCellMar>
                      </w:tblPr>
                      <w:tblGrid>
                        <w:gridCol w:w="12900"/>
                      </w:tblGrid>
                      <w:tr>
                        <w:tblPrEx>
                          <w:tblLayout w:type="fixed"/>
                          <w:tblCellMar>
                            <w:top w:w="0" w:type="dxa"/>
                            <w:left w:w="0" w:type="dxa"/>
                            <w:bottom w:w="0" w:type="dxa"/>
                            <w:right w:w="0" w:type="dxa"/>
                          </w:tblCellMar>
                        </w:tblPrEx>
                        <w:trPr>
                          <w:tblCellSpacing w:w="0" w:type="dxa"/>
                        </w:trPr>
                        <w:tc>
                          <w:tcPr>
                            <w:tcW w:w="12900" w:type="dxa"/>
                            <w:shd w:val="clear" w:color="auto" w:fill="FFFFFF"/>
                            <w:tcMar>
                              <w:top w:w="0" w:type="dxa"/>
                              <w:left w:w="75" w:type="dxa"/>
                              <w:bottom w:w="0" w:type="dxa"/>
                              <w:right w:w="0" w:type="dxa"/>
                            </w:tcMar>
                          </w:tcPr>
                          <w:p>
                            <w:pPr>
                              <w:widowControl/>
                              <w:spacing w:line="300" w:lineRule="atLeast"/>
                              <w:jc w:val="left"/>
                              <w:rPr>
                                <w:rFonts w:ascii="宋体" w:hAnsi="宋体" w:eastAsia="宋体" w:cs="宋体"/>
                                <w:color w:val="333333"/>
                                <w:kern w:val="0"/>
                                <w:sz w:val="18"/>
                                <w:szCs w:val="18"/>
                              </w:rPr>
                            </w:pPr>
                          </w:p>
                        </w:tc>
                      </w:tr>
                    </w:tbl>
                    <w:p/>
                  </w:txbxContent>
                </v:textbox>
              </v:shape>
            </w:pict>
          </mc:Fallback>
        </mc:AlternateContent>
      </w: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方正小标宋简体" w:hAnsi="方正小标宋简体" w:eastAsia="方正小标宋简体" w:cs="方正小标宋简体"/>
          <w:color w:val="auto"/>
          <w:sz w:val="32"/>
          <w:szCs w:val="32"/>
        </w:rPr>
      </w:pPr>
    </w:p>
    <w:p>
      <w:pPr>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孕前和孕期保健指南（2018</w:t>
      </w:r>
      <w:r>
        <w:rPr>
          <w:rFonts w:hint="eastAsia" w:ascii="方正小标宋简体" w:hAnsi="方正小标宋简体" w:eastAsia="方正小标宋简体" w:cs="方正小标宋简体"/>
          <w:color w:val="auto"/>
          <w:sz w:val="36"/>
          <w:szCs w:val="36"/>
          <w:lang w:eastAsia="zh-CN"/>
        </w:rPr>
        <w:t>版</w:t>
      </w:r>
      <w:r>
        <w:rPr>
          <w:rFonts w:hint="eastAsia" w:ascii="方正小标宋简体" w:hAnsi="方正小标宋简体" w:eastAsia="方正小标宋简体" w:cs="方正小标宋简体"/>
          <w:color w:val="auto"/>
          <w:sz w:val="36"/>
          <w:szCs w:val="36"/>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孕前保健（preconception care）和孕期保健（prenatal care）是降低孕产妇和围产儿并发症的发生率及死亡率、减少出生缺陷的重要措施。通过规范化的孕期保健和产前检查，能够及早防治妊娠期合并症及并发症，及时发现</w:t>
      </w:r>
      <w:bookmarkStart w:id="0" w:name="_GoBack"/>
      <w:bookmarkEnd w:id="0"/>
      <w:r>
        <w:rPr>
          <w:rFonts w:hint="eastAsia" w:asciiTheme="minorEastAsia" w:hAnsiTheme="minorEastAsia" w:eastAsiaTheme="minorEastAsia" w:cstheme="minorEastAsia"/>
          <w:sz w:val="24"/>
          <w:szCs w:val="24"/>
        </w:rPr>
        <w:t>胎儿异常，评估孕妇及胎儿的安危，确定分娩时机和分娩方式，保障母儿安全。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2011年，中华医学会妇产科学分会产科学组组织国内有关专家制定了《孕前和孕期保健指南（第1版）》[1]，这是我国制定的适宜我国国情的第1部“孕前和孕期保健指南”，通过该指南在全国的实施和推广，对规范我国的孕前检查和产前检查方案起到了重要的作用[2]。近年来，由于对产前检查的方案又有了新的认识，特别是产前筛查相关技术的快速发展，为此，产科学组决定在《孕前和孕期保健指南(第1版)》的基础上，参考美国[3-4]、英国[5]、加拿大[6]和WHO[7-8]等发布的孕前和孕期保健指南，并遵循《中华人民共和国母婴保健法》、国家卫生和计划生育委员会发布的相关管理办法和技术规范[9-12]，同时也考虑了卫生经济学的要求，制定了《孕前和孕期保健指南（2018）》。本指南的内容包括：健康教育及指导、常规保健内容、辅助检查项目（分为必查项目和备查项目）。其中健康教育及指导、常规保健内容和辅助检查的必查项目适用于所有的孕妇，有条件的医院或有指征时可开展备查项目。同时，本指南制定了简要表格，便于临床医师使用时快速参考。本指南仅适用于单胎妊娠、无妊娠并发症和合并症的孕妇。</w:t>
      </w:r>
    </w:p>
    <w:p>
      <w:pPr>
        <w:ind w:firstLine="562" w:firstLineChars="200"/>
        <w:rPr>
          <w:rFonts w:hint="eastAsia" w:ascii="仿宋" w:hAnsi="仿宋" w:eastAsia="仿宋" w:cs="仿宋"/>
          <w:b/>
          <w:bCs/>
          <w:sz w:val="28"/>
          <w:szCs w:val="28"/>
        </w:rPr>
      </w:pPr>
    </w:p>
    <w:p>
      <w:pPr>
        <w:ind w:firstLine="562" w:firstLineChars="200"/>
        <w:rPr>
          <w:rFonts w:hint="eastAsia" w:ascii="仿宋" w:hAnsi="仿宋" w:eastAsia="仿宋" w:cs="仿宋"/>
          <w:b/>
          <w:bCs/>
          <w:sz w:val="28"/>
          <w:szCs w:val="28"/>
        </w:rPr>
      </w:pPr>
    </w:p>
    <w:p>
      <w:pPr>
        <w:ind w:firstLine="562" w:firstLineChars="200"/>
        <w:rPr>
          <w:rFonts w:hint="eastAsia" w:ascii="仿宋" w:hAnsi="仿宋" w:eastAsia="仿宋" w:cs="仿宋"/>
          <w:b/>
          <w:bCs/>
          <w:sz w:val="28"/>
          <w:szCs w:val="28"/>
        </w:rPr>
      </w:pPr>
    </w:p>
    <w:p>
      <w:pPr>
        <w:ind w:firstLine="562" w:firstLineChars="200"/>
        <w:rPr>
          <w:rFonts w:hint="eastAsia" w:ascii="仿宋" w:hAnsi="仿宋" w:eastAsia="仿宋" w:cs="仿宋"/>
          <w:b/>
          <w:bCs/>
          <w:sz w:val="28"/>
          <w:szCs w:val="28"/>
        </w:rPr>
      </w:pP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孕前保健（孕前3个月）</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孕前保健是通过评估和改善计划妊娠夫妇的健康状况，减少或消除导致出生缺陷等不良妊娠结局的风险因素，预防出生缺陷发生，提高出生人口素质，是孕期保健的前移。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一、健康教育及指导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遵循普遍性指导和个体化指导相结合的原则，对计划妊娠的夫妇行孕前健康教育及指导，主要内容包括：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（1）有准备、有计划地妊娠，尽量避免高龄妊娠。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（2）合理营养，控制体质量增加。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（3）补充叶酸0.4~0.8 mg/d[13-14]，或含叶酸的复合维生素[14]。既往生育过神经管缺陷（NTD）儿的孕妇，则需每天补充叶酸4 mg[13-14]。</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（4）有遗传病、慢性疾病和传染病而准备妊娠的妇女，应予以评估并指导。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（5）合理用药，避免使用可能影响胎儿正常发育的药物。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（6）避免接触生活及职业环境中的有毒有害物质（如放射线、高温、铅、汞、苯、砷、农药等），避免密切接触宠物。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（7）改变不良的生活习惯（如吸烟、酗酒、吸毒等）及生活方式；避免高强度的工作、高噪音环境和家庭暴力。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（8）保持心理健康，解除精神压力，预防孕期及产后心理问题的发生。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（9）合理选择运动方式。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二、常规保健（针对所有计划妊娠的夫妇）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评估孕前高危因素：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（1）询问计划妊娠夫妇的健康状况。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（2）评估既往慢性疾病史、家族史和遗传病史，不宜妊娠者应及时告之。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（3）详细了解不良孕产史和前次分娩史，是否为瘢痕子宫。</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（4）生活方式、饮食营养、职业状况及工作环境、运动（劳动）情况、家庭暴力、人际关系等。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体格检查：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（1）全面体格检查，包括心肺听诊；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（2）测量血压、体质量，计算体质指数（BMI）；</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（3）常规妇科检查。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三、必查项目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包括以下项目[9-10]：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（1）血常规；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（2）尿常规；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（3）血型（ABO和Rh血型）；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（4）肝功能；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（5）肾功能；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（6）空腹血糖水平；</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（7）HBsAg筛查；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（8）梅毒血清抗体筛查；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（9）HIV筛查；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（10）地中海贫血筛查（广东、广西、海南、湖南、湖北、四川、重庆等地区）[3-5，8，15-16]。</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四、备查项目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包括以下项目：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（1）子宫颈细胞学检查（1年内未查者）；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（2）TORCH筛查[1-6，9-10]；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（3）阴道分泌物检查（常规检查，及淋球菌、沙眼衣原体检查）[1-6，9-10]；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（4）甲状腺功能检测[17-18]；</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（5）75 g口服葡萄糖耐量试验（OGTT），针对高危妇女[3，19-20]；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（6）血脂水平检查[1，3]；</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（7）妇科超声检查；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（8）心电图检查；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（9）胸部X线检查[1，3]。</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孕期保健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孕期保健的要求，是在特定的时间，系统提供有证可循的产前检查项目。产前检查的时间安排，要根据产前检查的目的来决定[1-6]。</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一、产前检查的次数及孕周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理的产前检查次数及孕周不仅能保证孕期保健的质量，也可节省医疗卫生资源。WHO（2016年）发布的孕期保健指南[8]，将产前检查次数增加到8次，分别为：妊娠&lt;12周、20周、26周、30周、34周、36周、38周和40周。根据目前我国孕期保健的现状和产前检查项目的需要，本指南推荐的产前检查孕周分别为：妊娠6~13周+6，14~19周+6，20~24周，25~28周，29~32周，33~36周，37~41周。共7~11次。有高危因素者，酌情增加次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二、产前检查的内容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（一）首次产前检查（妊娠6~13周+6）</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健康教育及指导：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（1）流产的认识和预防[1]。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（2）营养和生活方式的指导（卫生、性生活、运动锻炼、旅行、工作）[21]。根据孕前BMI，提出孕期体质量增加建议[22-23]，见表1。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（3）继续补充叶酸0.4~0.8 mg/d至孕3个月，有条件者可继续服用含叶酸的复合维生素[13-14]。</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（4）避免接触有毒有害物质（如放射线、高温、铅、汞、苯、砷、农药等），避免密切接触宠物。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（5）慎用药物，避免使用可能影响胎儿正常发育的药物。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（6）改变不良的生活习惯（如吸烟、酗酒、吸毒等）及生活方式；避免高强度的工作、高噪音环境和家庭暴力。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（7）保持心理健康，解除精神压力，预防孕期及产后心理问题的发生。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常规保健：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（1）建立孕期保健手册。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（2）仔细询问月经情况，确定孕周，推算预产期。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评估孕期高危因素。孕产史（特别是不良孕产史如流产、早产、死胎、死产史），生殖道手术史，有无胎儿畸形或幼儿智力低下，孕前准备情况，孕妇及配偶的家族史和遗传病史。注意有无妊娠合并症，如：慢性高血压、心脏病、糖尿病、肝肾疾病、系统性红斑狼疮、血液病、神经和精神疾病等，及时请相关学科会诊，不宜继续妊娠者应告知并及时终止妊娠；高危妊娠继续妊娠者，评估是否转诊。本次妊娠有无阴道出血，有无可能致畸的因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（4）全面体格检查，包括心肺听诊，测量血压、体质量，计算BMI[22]；常规妇科检查（孕前3 个月未查者）[1,5]；胎心率测定（多普勒听诊，妊娠12周左右）。</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必查项目：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（1）血常规；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（2）尿常规；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（3）血型（ABO和Rh血型）；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（4）肝功能；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（5）肾功能；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（6）空腹血糖水平；</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（7）HBsAg 筛查[24-27]；</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（8）梅毒血清抗体筛查[12]；</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（9）HIV筛查[1-6，25]；</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（10）地中海贫血筛查（广东、广西、海南、湖南、湖北、四川、重庆等地区）[8，15-16]。</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（11）超声检查。在孕早期（妊娠6～8周）行超声检查，以确定是否为宫内妊娠及孕周、胎儿是否存活、胎儿数目、子宫附件情况。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备查项目：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（1）丙型肝炎（HCV）筛查[1，4-5，25]。</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（2）抗D 滴度检测（Rh 血型阴性者）[1-4]。</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（3）75 gOGTT（高危孕妇）[19-20]。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（4）甲状腺功能检测[17-18]。</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（5）血清铁蛋白（血红蛋白&lt;110 g/L者）[28]。</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（6）结核菌素（PPD）试验（高危孕妇）[4]。</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（7）子宫颈细胞学检查（孕前12个月未检查者）[1-4]。</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（8）子宫颈分泌物检测淋球菌和沙眼衣原体(高危孕妇或有症状者)[1-4]。</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（9）细菌性阴道病（BV）的检测（有症状或早产史者）[29]。</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（10）胎儿染色体非整倍体异常的孕早期(妊娠10~13 周+ 6)母体血清学筛查[妊娠相关血浆蛋白A（PAPP-A）和游离β-hCG][30-33]。注意事项：空腹；超声检查确定孕周；确定抽血当天的体质量。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（11）超声检查：妊娠11~13 周+ 6 测量胎儿颈部透明层（nuchal translucency，NT）的厚度；核定孕周；双胎妊娠还需确定绒毛膜性质[34-35]。NT的测量按照英国胎儿医学基金会标准进行（超声医师需要经过严格的训练并进行质量控制）[36]。高危者，可考虑绒毛活检或羊膜腔穿刺检查[37-38]。</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（12）绒毛穿刺取样术（妊娠10~13周+6，主要针对高危孕妇）[37-38]。</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（13）心电图检查[1-4]。</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drawing>
          <wp:inline distT="0" distB="0" distL="114300" distR="114300">
            <wp:extent cx="9525" cy="9525"/>
            <wp:effectExtent l="0" t="0" r="0" b="0"/>
            <wp:docPr id="3" name="图片 2" descr="分割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分割线"/>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r>
        <w:rPr>
          <w:rFonts w:hint="eastAsia" w:asciiTheme="minorEastAsia" w:hAnsiTheme="minorEastAsia" w:eastAsiaTheme="minorEastAsia" w:cstheme="minorEastAsia"/>
          <w:color w:val="auto"/>
          <w:sz w:val="24"/>
          <w:szCs w:val="24"/>
        </w:rPr>
        <w:t>（二）妊娠14~19周+6产前检查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健康教育及指导：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（1）流产的认识和预防。</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（2）妊娠生理知识。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（3）营养和生活方式的指导。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（4）中孕期胎儿染色体非整倍体异常筛查的意义。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（5）非贫血孕妇，如血清铁蛋白&lt;30 μg/L，应补充元素铁60 mg/d；诊断明确的缺铁性贫血孕妇，应补充元素铁100~200 mg/d[28,38]，具体参考中华医学会围产医学分会发布的《妊娠期铁缺乏和缺铁性贫血诊治指南》[28]。</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（6）开始常规补充钙剂0.6～1.5 g/d[6,39]。</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常规保健：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（1）分析首次产前检查的结果。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（2）询问阴道出血、饮食、运动情况。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（3）体格检查，包括血压、体质量，评估孕妇体质量增加是否合理；子宫底高度；胎心率测定。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必查项目：无。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备查项目：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（1）无创产前基因检测（non-invasive prenatal testing，NIPT）：NIPT筛查的目标疾病为3种常见胎儿染色体非整倍体异常，即21三体综合征、18 三体综合征、13三体综合征。适宜孕周为12～</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周+6。具体参考国家卫计委发布的《孕妇外周血胎儿游离DNA产前筛查与诊断技术规范》[40]。不适用人群为：①孕周&lt;12周；②夫妇一方有明确的染色体异常；③1年内接受过异体输血、移植手术、异体细胞治疗等；④胎儿超声检查提示有结构异常须进行产前诊断；⑤有基因遗传病家族史或提示胎儿罹患基因病高风险；⑥孕期合并恶性肿瘤；⑦医师认为有明显影响结果准确性的其他情形。NIPT检测结果为阳性，应进行介入性产前诊断[40-41]。NIPT报告应当由产前诊断机构出具，并由副高以上职称并具备产前诊断资质的临床医师签署。NIPT检测结果为阳性，应进行介入性产前诊断[40]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（2）胎儿染色体非整倍体异常的中孕期母体血清学筛查（妊娠15~20周，最佳检测孕周为16~18周）[30-33]。注意事项：同早孕期血清学筛查。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（3）羊膜腔穿刺术检查胎儿染色体核型（妊娠16~22周），针对高危人群[11]。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（三）妊娠20~24周产前检查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健康教育及指导：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（1）早产的认识和预防。</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（2）营养和生活方式的指导。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（3）胎儿系统超声筛查的意义。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常规保健：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（1）询问胎动、阴道出血、饮食、运动情况。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（2）体格检查同妊娠14~19周+6产前检查。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必查项目：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（1）胎儿系统超声筛查（妊娠20~24周）[1-6,35,42]，筛查胎儿的严重畸形。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（2）血常规。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（3）尿常规。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备查项目：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经阴道超声测量子宫颈长度，进行早产的预测[1-6,43-44]。</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（四）妊娠25~28周产前检查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健康教育及指导：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（1）早产的认识和预防。</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（2）妊娠期糖尿病(GDM)筛查的意义。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常规保健：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（1）询问胎动、阴道出血、宫缩、饮食、运动情况。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（2）体格检查同妊娠14~19周+6产前检查。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必查项目：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（1）GDM 筛查。直接行75 gOGTT，其正常上限为：空腹血糖水平为5.1 mmol/L,1 h 血糖水平为10.0 mmol/L，2 h 血糖水平为8.5mmol/L。孕妇具有GDM高危因素或者医疗资源缺乏的地区，建议妊娠24~28 周首先检测空腹血糖（FPG）。具体参考中华医学会《妊娠合并糖尿病诊治指南（2014）》[19]。</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（2）血常规、尿常规。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备查项目：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（1）抗D滴度检测（Rh血型阴性者）[1-6]。</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（2）子宫颈分泌物检测胎儿纤连蛋白（fFN）水平（子宫颈长度为20～30 mm者）[45]。</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drawing>
          <wp:inline distT="0" distB="0" distL="114300" distR="114300">
            <wp:extent cx="9525" cy="9525"/>
            <wp:effectExtent l="0" t="0" r="0" b="0"/>
            <wp:docPr id="4" name="图片 3" descr="分割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分割线"/>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r>
        <w:rPr>
          <w:rFonts w:hint="eastAsia" w:asciiTheme="minorEastAsia" w:hAnsiTheme="minorEastAsia" w:eastAsiaTheme="minorEastAsia" w:cstheme="minorEastAsia"/>
          <w:color w:val="auto"/>
          <w:sz w:val="24"/>
          <w:szCs w:val="24"/>
        </w:rPr>
        <w:t>（五）妊娠29~32周产前检查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健康教育及指导：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（1）分娩方式指导。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（2）开始注意胎动或计数胎动[1-4]。</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（3）母乳喂养指导。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（4）新生儿护理指导。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常规保健：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（1）询问胎动、阴道出血、宫缩、饮食、运动情况。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（2）体格检查：同妊娠14~19周+6产前检查；胎位检查。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必查项目：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（1）血常规、尿常规。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（2）超声检查：胎儿生长发育情况、羊水量、胎位、胎盘位置等[1-6]。</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备查项目：无。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drawing>
          <wp:inline distT="0" distB="0" distL="114300" distR="114300">
            <wp:extent cx="9525" cy="9525"/>
            <wp:effectExtent l="0" t="0" r="0" b="0"/>
            <wp:docPr id="5" name="图片 4" descr="分割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分割线"/>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r>
        <w:rPr>
          <w:rFonts w:hint="eastAsia" w:asciiTheme="minorEastAsia" w:hAnsiTheme="minorEastAsia" w:eastAsiaTheme="minorEastAsia" w:cstheme="minorEastAsia"/>
          <w:color w:val="auto"/>
          <w:sz w:val="24"/>
          <w:szCs w:val="24"/>
        </w:rPr>
        <w:t>（六）妊娠33~36周产前检查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健康教育及指导：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（1）分娩前生活方式的指导。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（2）分娩相关知识（临产的症状、分娩方式指导、分娩镇痛）。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（3）新生儿疾病筛查。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（4）抑郁症的预防[3-6]。</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常规保健：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（1）询问胎动、阴道出血、宫缩、皮肤瘙痒、饮食、运动、分娩前准备情况。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（2）体格检查同妊娠30~32周产前检查。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必查项目：尿常规。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备查项目：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（1）妊娠35~37 周B 族链球菌（GBS）筛查：具有高危因素的孕妇（如合并糖尿病、前次妊娠出生的新生儿有GBS感染等），取直肠和阴道下1/3 分泌物培养[1-5]。</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（2）妊娠32~34 周肝功能、血清胆汁酸检测[妊娠期肝内胆汁淤积症高发病率地区的孕妇][46]。</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（3）妊娠32～34周后可开始电子胎心监护[无应激试验（NST）检查（高危孕妇）][5]。</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（4）心电图复查（高危孕妇）。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drawing>
          <wp:inline distT="0" distB="0" distL="114300" distR="114300">
            <wp:extent cx="9525" cy="9525"/>
            <wp:effectExtent l="0" t="0" r="0" b="0"/>
            <wp:docPr id="6" name="图片 5" descr="分割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分割线"/>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r>
        <w:rPr>
          <w:rFonts w:hint="eastAsia" w:asciiTheme="minorEastAsia" w:hAnsiTheme="minorEastAsia" w:eastAsiaTheme="minorEastAsia" w:cstheme="minorEastAsia"/>
          <w:color w:val="auto"/>
          <w:sz w:val="24"/>
          <w:szCs w:val="24"/>
        </w:rPr>
        <w:t>（七）妊娠37~41周产前检查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健康教育及指导：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（1）分娩相关知识（临产的症状、分娩方式指导、分娩镇痛）[5]。</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（2）新生儿免疫接种指导[5]。</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（3）产褥期指导。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（4）胎儿宫内情况的监护。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（5）妊娠≥41周，住院并引产[3-4,47]。</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常规保健内容：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（1）询问胎动、宫缩、见红等。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（2）体格检查同妊娠30~32周产前检查。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必查项目：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（1）超声检查[评估胎儿大小、羊水量、胎盘成熟度、胎位，有条件可检测脐动脉收缩期峰值和舒张末期流速之比（S/D比值）等][3,5]。</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（2）NST检查（每周1次）[5]。</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备查项目：子宫颈检查及Bishop评分[1,3]。</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三、高龄孕妇的孕期保健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仔细询问孕前病史，重点询问是否患有糖尿病、慢性高血压、肥胖、肾脏及心脏疾病等，询问既往生育史；本次妊娠是否为辅助生殖治疗受孕；两次妊娠的间隔时间；明确并记录高危因素。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评估并告知高龄孕妇的妊娠风险，包括流产、胎儿染色体异常、胎儿畸形、妊娠期高血压疾病、GDM、胎儿生长受限（FGR）、早产和死胎等。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规范补充叶酸或含叶酸的复合维生素；及时规范补充钙剂和铁剂，根据情况可考虑适当增加剂量。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高龄孕妇是产前筛查和产前诊断的重点人群。重点检查项目包括：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（1）妊娠11～13周+6应行早孕期超声筛查：胎儿NT、有无鼻骨缺如、NTD等；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（2）预产期年龄在35～39岁而且单纯年龄为高危因素，签署知情同意书可先行NIPT进行胎儿染色体非整倍体异常的筛查；预产期年龄≥40 岁的孕妇，建议绒毛穿刺取样术或羊膜腔穿刺术，进行胎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儿染色体核型分析和（或）染色体微阵列分析（chromosomal microarray analysis，CMA）；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（3）妊娠20～24周，行胎儿系统超声筛查和子宫颈长度测量；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（4）重视GDM筛查、妊娠期高血压疾病和FGR的诊断。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 年龄≥40岁的孕妇，应加强胎儿监护，妊娠40周前适时终止妊娠。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四、孕期不推荐常规检查的内容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骨盆外测量：已有充分的证据表明骨盆外测量并不能预测产时头盆不称。因此，孕期不需要常规检行盆外测量[3-4]。对于阴道分娩的孕妇，妊娠晚期可测定骨盆出口径线。</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弓形虫、巨细胞病毒和单纯疱疹病毒血清学筛查：目前，对这3种病原体没有成熟的筛查手段，孕妇血清学特异性抗体检测均不能确诊孕妇何时感染、胎儿是否受累以及有无远期后遗症，也不能依据孕妇的血清学筛查结果来决定是否需要终止妊娠。建议孕前筛查或孕期有针对性的筛查，不宜对所有的孕妇进行常规筛查，避免给孕妇带来心理的恐惧和不必要的干预[3-5]。</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妊娠期BV筛查：妊娠期BV的发生率为10%~20%,与早产发生有关, 早产高危孕妇可筛查BV,但不宜针对所有孕妇进行常规BV筛查[3-5]。</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子宫颈分泌物检测fFN及超声检查评估子宫颈：早产高危孕妇行这两项筛查的价值在于，阴性结果提示近期内无早产可能，从而减低不必要的干预。但是尚没有足够的证据支持对所有孕妇进行子宫颈分泌物fFN 检测及超声子宫颈长度的评估[3-4]。</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 每次产前检查时行尿蛋白和血常规检查：不需要每次产前检查时进行尿蛋白和血常规检查，但妊娠期高血压疾病和妊娠期贫血的孕妇可反复进行尿蛋白和血常规检查[3-4]。</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 甲状腺功能筛查：孕妇甲状腺功能减退会影响儿童神经智能的发育。虽然有专家建议筛查所有孕妇的甲状腺功能（游离三碘甲状腺原氨酸、游离甲状腺素和促甲状腺素），但是目前尚没有足够的证据支持对所有孕妇进行甲状腺功能的筛查。孕期应保证充足的碘摄入[4]。</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8"/>
          <w:szCs w:val="28"/>
        </w:rPr>
        <w:sectPr>
          <w:pgSz w:w="11906" w:h="16838"/>
          <w:pgMar w:top="1440" w:right="1140" w:bottom="1157" w:left="1140" w:header="851" w:footer="992" w:gutter="0"/>
          <w:cols w:space="425" w:num="1"/>
          <w:docGrid w:type="lines" w:linePitch="312" w:charSpace="0"/>
        </w:sectPr>
      </w:pPr>
      <w:r>
        <w:rPr>
          <w:rFonts w:hint="eastAsia" w:asciiTheme="minorEastAsia" w:hAnsiTheme="minorEastAsia" w:eastAsiaTheme="minorEastAsia" w:cstheme="minorEastAsia"/>
          <w:color w:val="auto"/>
          <w:sz w:val="24"/>
          <w:szCs w:val="24"/>
        </w:rPr>
        <w:t>7. 结核病筛查：目前尚没有足够的证据支持对所有孕妇进行结核病的筛查（包括PPD试验和胸部X 线检查）。高危孕妇（结核病高发区、居住条件差、HIV感染、药物成瘾者）可以在妊娠的任何时期进行结核病筛查[5]。本指南制定了速查表，便于临床医师使用时快速查阅，见表2。</w:t>
      </w:r>
      <w:r>
        <w:rPr>
          <w:sz w:val="28"/>
        </w:rPr>
        <mc:AlternateContent>
          <mc:Choice Requires="wps">
            <w:drawing>
              <wp:anchor distT="0" distB="0" distL="114300" distR="114300" simplePos="0" relativeHeight="251661312" behindDoc="0" locked="0" layoutInCell="1" allowOverlap="1">
                <wp:simplePos x="0" y="0"/>
                <wp:positionH relativeFrom="column">
                  <wp:posOffset>4151630</wp:posOffset>
                </wp:positionH>
                <wp:positionV relativeFrom="paragraph">
                  <wp:posOffset>7654290</wp:posOffset>
                </wp:positionV>
                <wp:extent cx="1666875" cy="285750"/>
                <wp:effectExtent l="0" t="0" r="9525" b="3810"/>
                <wp:wrapNone/>
                <wp:docPr id="2" name="矩形 2"/>
                <wp:cNvGraphicFramePr/>
                <a:graphic xmlns:a="http://schemas.openxmlformats.org/drawingml/2006/main">
                  <a:graphicData uri="http://schemas.microsoft.com/office/word/2010/wordprocessingShape">
                    <wps:wsp>
                      <wps:cNvSpPr/>
                      <wps:spPr>
                        <a:xfrm>
                          <a:off x="4875530" y="7120890"/>
                          <a:ext cx="1666875" cy="2857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6.9pt;margin-top:602.7pt;height:22.5pt;width:131.25pt;z-index:251661312;v-text-anchor:middle;mso-width-relative:page;mso-height-relative:page;" fillcolor="#F2F2F2 [3052]" filled="t" stroked="f" coordsize="21600,21600" o:gfxdata="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K1/mdkAAAAMAQAADwAAAAAAAAABACAAAAAiAAAAZHJzL2Rvd25yZXYueG1sUEsBAhQAFAAA&#10;AAgAh07iQB6sKBtgAgAAlAQAAA4AAAAAAAAAAQAgAAAAKAEAAGRycy9lMm9Eb2MueG1sUEsFBgAA&#10;AAAGAAYAWQEAAPoFAAAAAA==&#10;">
                <v:fill on="t" focussize="0,0"/>
                <v:stroke on="f" weight="2pt"/>
                <v:imagedata o:title=""/>
                <o:lock v:ext="edit" aspectratio="f"/>
              </v:rect>
            </w:pict>
          </mc:Fallback>
        </mc:AlternateContent>
      </w:r>
      <w:r>
        <w:rPr>
          <w:rFonts w:hint="eastAsia" w:ascii="仿宋" w:hAnsi="仿宋" w:eastAsia="仿宋" w:cs="仿宋"/>
          <w:color w:val="auto"/>
          <w:sz w:val="28"/>
          <w:szCs w:val="28"/>
        </w:rPr>
        <w:drawing>
          <wp:inline distT="0" distB="0" distL="114300" distR="114300">
            <wp:extent cx="5876925" cy="8086725"/>
            <wp:effectExtent l="0" t="0" r="5715" b="5715"/>
            <wp:docPr id="7" name="图片 6"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60"/>
                    <pic:cNvPicPr>
                      <a:picLocks noChangeAspect="1"/>
                    </pic:cNvPicPr>
                  </pic:nvPicPr>
                  <pic:blipFill>
                    <a:blip r:embed="rId5"/>
                    <a:stretch>
                      <a:fillRect/>
                    </a:stretch>
                  </pic:blipFill>
                  <pic:spPr>
                    <a:xfrm>
                      <a:off x="0" y="0"/>
                      <a:ext cx="5876925" cy="80867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rPr>
      </w:pPr>
      <w:r>
        <w:rPr>
          <w:sz w:val="28"/>
        </w:rPr>
        <mc:AlternateContent>
          <mc:Choice Requires="wps">
            <w:drawing>
              <wp:anchor distT="0" distB="0" distL="114300" distR="114300" simplePos="0" relativeHeight="251665408" behindDoc="0" locked="0" layoutInCell="1" allowOverlap="1">
                <wp:simplePos x="0" y="0"/>
                <wp:positionH relativeFrom="column">
                  <wp:posOffset>6356350</wp:posOffset>
                </wp:positionH>
                <wp:positionV relativeFrom="paragraph">
                  <wp:posOffset>5207000</wp:posOffset>
                </wp:positionV>
                <wp:extent cx="2103755" cy="305435"/>
                <wp:effectExtent l="0" t="0" r="14605" b="14605"/>
                <wp:wrapNone/>
                <wp:docPr id="11" name="矩形 11"/>
                <wp:cNvGraphicFramePr/>
                <a:graphic xmlns:a="http://schemas.openxmlformats.org/drawingml/2006/main">
                  <a:graphicData uri="http://schemas.microsoft.com/office/word/2010/wordprocessingShape">
                    <wps:wsp>
                      <wps:cNvSpPr/>
                      <wps:spPr>
                        <a:xfrm>
                          <a:off x="0" y="0"/>
                          <a:ext cx="2103755" cy="30543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00.5pt;margin-top:410pt;height:24.05pt;width:165.65pt;z-index:251665408;v-text-anchor:middle;mso-width-relative:page;mso-height-relative:page;" fillcolor="#F2F2F2 [3052]" filled="t" stroked="f" coordsize="21600,21600" o:gfxdata="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dkRqLZAAAA&#10;DQEAAA8AAAAAAAAAAQAgAAAAIgAAAGRycy9kb3ducmV2LnhtbFBLAQIUABQAAAAIAIdO4kBDaYVb&#10;VQIAAIoEAAAOAAAAAAAAAAEAIAAAACgBAABkcnMvZTJvRG9jLnhtbFBLBQYAAAAABgAGAFkBAADv&#10;BQAAAAA=&#10;">
                <v:fill on="t" focussize="0,0"/>
                <v:stroke on="f" weight="2pt"/>
                <v:imagedata o:title=""/>
                <o:lock v:ext="edit" aspectratio="f"/>
              </v:rect>
            </w:pict>
          </mc:Fallback>
        </mc:AlternateContent>
      </w:r>
      <w:r>
        <w:rPr>
          <w:rFonts w:hint="eastAsia" w:ascii="仿宋" w:hAnsi="仿宋" w:eastAsia="仿宋" w:cs="仿宋"/>
          <w:color w:val="auto"/>
          <w:sz w:val="28"/>
          <w:szCs w:val="28"/>
        </w:rPr>
        <w:drawing>
          <wp:inline distT="0" distB="0" distL="114300" distR="114300">
            <wp:extent cx="8378190" cy="5705475"/>
            <wp:effectExtent l="0" t="0" r="3810" b="9525"/>
            <wp:docPr id="8" name="图片 7"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IMG_261"/>
                    <pic:cNvPicPr>
                      <a:picLocks noChangeAspect="1"/>
                    </pic:cNvPicPr>
                  </pic:nvPicPr>
                  <pic:blipFill>
                    <a:blip r:embed="rId6"/>
                    <a:stretch>
                      <a:fillRect/>
                    </a:stretch>
                  </pic:blipFill>
                  <pic:spPr>
                    <a:xfrm>
                      <a:off x="0" y="0"/>
                      <a:ext cx="8378190" cy="5705475"/>
                    </a:xfrm>
                    <a:prstGeom prst="rect">
                      <a:avLst/>
                    </a:prstGeom>
                    <a:noFill/>
                    <a:ln w="9525">
                      <a:noFill/>
                    </a:ln>
                  </pic:spPr>
                </pic:pic>
              </a:graphicData>
            </a:graphic>
          </wp:inline>
        </w:drawing>
      </w:r>
    </w:p>
    <w:sectPr>
      <w:pgSz w:w="16838" w:h="11906" w:orient="landscape"/>
      <w:pgMar w:top="1083" w:right="1440" w:bottom="1083" w:left="1440"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0A9"/>
    <w:rsid w:val="00292E50"/>
    <w:rsid w:val="00361451"/>
    <w:rsid w:val="004716C7"/>
    <w:rsid w:val="004F5199"/>
    <w:rsid w:val="00635CC6"/>
    <w:rsid w:val="007B00A9"/>
    <w:rsid w:val="00835FB1"/>
    <w:rsid w:val="00A65587"/>
    <w:rsid w:val="00AF519E"/>
    <w:rsid w:val="00D97B33"/>
    <w:rsid w:val="00DB3E32"/>
    <w:rsid w:val="00DC7208"/>
    <w:rsid w:val="00E83661"/>
    <w:rsid w:val="00ED04B1"/>
    <w:rsid w:val="00FE351C"/>
    <w:rsid w:val="08654957"/>
    <w:rsid w:val="150D2F12"/>
    <w:rsid w:val="16BD39D8"/>
    <w:rsid w:val="1A37110A"/>
    <w:rsid w:val="1CE5146A"/>
    <w:rsid w:val="2DEC4A9A"/>
    <w:rsid w:val="515A66E2"/>
    <w:rsid w:val="52705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widowControl/>
      <w:spacing w:before="100" w:beforeAutospacing="1" w:after="100" w:afterAutospacing="1"/>
      <w:jc w:val="left"/>
      <w:outlineLvl w:val="0"/>
    </w:pPr>
    <w:rPr>
      <w:rFonts w:ascii="宋体" w:hAnsi="宋体" w:eastAsia="宋体" w:cs="宋体"/>
      <w:kern w:val="36"/>
      <w:sz w:val="30"/>
      <w:szCs w:val="30"/>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8"/>
    <w:semiHidden/>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font"/>
    <w:basedOn w:val="9"/>
    <w:qFormat/>
    <w:uiPriority w:val="0"/>
  </w:style>
  <w:style w:type="character" w:customStyle="1" w:styleId="13">
    <w:name w:val="bigger"/>
    <w:basedOn w:val="9"/>
    <w:qFormat/>
    <w:uiPriority w:val="0"/>
  </w:style>
  <w:style w:type="character" w:customStyle="1" w:styleId="14">
    <w:name w:val="medium"/>
    <w:basedOn w:val="9"/>
    <w:qFormat/>
    <w:uiPriority w:val="0"/>
  </w:style>
  <w:style w:type="character" w:customStyle="1" w:styleId="15">
    <w:name w:val="smaller"/>
    <w:basedOn w:val="9"/>
    <w:qFormat/>
    <w:uiPriority w:val="0"/>
  </w:style>
  <w:style w:type="character" w:customStyle="1" w:styleId="16">
    <w:name w:val="gwdtitle"/>
    <w:basedOn w:val="9"/>
    <w:qFormat/>
    <w:uiPriority w:val="0"/>
  </w:style>
  <w:style w:type="paragraph" w:styleId="17">
    <w:name w:val="List Paragraph"/>
    <w:basedOn w:val="1"/>
    <w:qFormat/>
    <w:uiPriority w:val="34"/>
    <w:pPr>
      <w:ind w:firstLine="420" w:firstLineChars="200"/>
    </w:pPr>
  </w:style>
  <w:style w:type="character" w:customStyle="1" w:styleId="18">
    <w:name w:val="批注框文本 Char"/>
    <w:basedOn w:val="9"/>
    <w:link w:val="4"/>
    <w:semiHidden/>
    <w:qFormat/>
    <w:uiPriority w:val="99"/>
    <w:rPr>
      <w:sz w:val="18"/>
      <w:szCs w:val="18"/>
    </w:rPr>
  </w:style>
  <w:style w:type="character" w:customStyle="1" w:styleId="19">
    <w:name w:val="标题 1 Char"/>
    <w:basedOn w:val="9"/>
    <w:link w:val="2"/>
    <w:qFormat/>
    <w:uiPriority w:val="9"/>
    <w:rPr>
      <w:rFonts w:ascii="宋体" w:hAnsi="宋体" w:eastAsia="宋体" w:cs="宋体"/>
      <w:kern w:val="36"/>
      <w:sz w:val="30"/>
      <w:szCs w:val="30"/>
    </w:rPr>
  </w:style>
  <w:style w:type="paragraph" w:customStyle="1" w:styleId="20">
    <w:name w:val="text_tit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
    <w:name w:val="text_subtitl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1416</Words>
  <Characters>8072</Characters>
  <Lines>67</Lines>
  <Paragraphs>18</Paragraphs>
  <TotalTime>1</TotalTime>
  <ScaleCrop>false</ScaleCrop>
  <LinksUpToDate>false</LinksUpToDate>
  <CharactersWithSpaces>9470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2019-03-19T08:35:00Z</dcterms:created>
  <dc:creator>Administrator</dc:creator>
  <cp:lastModifiedBy>木鱼儿</cp:lastModifiedBy>
  <dcterms:modified xsi:type="dcterms:W3CDTF">2019-03-22T03:02:21Z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