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jc w:val="both"/>
        <w:textAlignment w:val="auto"/>
        <w:rPr>
          <w:rFonts w:hint="eastAsia" w:ascii="黑体" w:hAnsi="黑体" w:eastAsia="黑体"/>
          <w:color w:val="000000"/>
          <w:szCs w:val="32"/>
          <w:lang w:val="en-US" w:eastAsia="zh-CN"/>
        </w:rPr>
      </w:pPr>
    </w:p>
    <w:p>
      <w:pPr>
        <w:keepNext w:val="0"/>
        <w:keepLines w:val="0"/>
        <w:pageBreakBefore w:val="0"/>
        <w:widowControl w:val="0"/>
        <w:kinsoku/>
        <w:wordWrap/>
        <w:overflowPunct/>
        <w:topLinePunct w:val="0"/>
        <w:bidi w:val="0"/>
        <w:spacing w:line="560" w:lineRule="exact"/>
        <w:jc w:val="both"/>
        <w:textAlignment w:val="auto"/>
        <w:rPr>
          <w:rFonts w:hint="eastAsia" w:ascii="仿宋_GB2312"/>
          <w:color w:val="000000"/>
          <w:szCs w:val="32"/>
          <w:lang w:val="en-US" w:eastAsia="zh-CN"/>
        </w:rPr>
      </w:pPr>
    </w:p>
    <w:p>
      <w:pPr>
        <w:keepNext w:val="0"/>
        <w:keepLines w:val="0"/>
        <w:pageBreakBefore w:val="0"/>
        <w:widowControl w:val="0"/>
        <w:kinsoku/>
        <w:wordWrap/>
        <w:overflowPunct/>
        <w:topLinePunct w:val="0"/>
        <w:bidi w:val="0"/>
        <w:spacing w:line="560" w:lineRule="exact"/>
        <w:jc w:val="both"/>
        <w:textAlignment w:val="auto"/>
        <w:rPr>
          <w:rFonts w:hint="eastAsia" w:ascii="仿宋_GB2312"/>
          <w:color w:val="000000"/>
          <w:szCs w:val="32"/>
          <w:lang w:val="en-US" w:eastAsia="zh-CN"/>
        </w:rPr>
      </w:pPr>
    </w:p>
    <w:p>
      <w:pPr>
        <w:keepNext w:val="0"/>
        <w:keepLines w:val="0"/>
        <w:pageBreakBefore w:val="0"/>
        <w:widowControl w:val="0"/>
        <w:kinsoku/>
        <w:wordWrap/>
        <w:overflowPunct/>
        <w:topLinePunct w:val="0"/>
        <w:bidi w:val="0"/>
        <w:spacing w:line="560" w:lineRule="exact"/>
        <w:jc w:val="both"/>
        <w:textAlignment w:val="auto"/>
        <w:rPr>
          <w:rFonts w:hint="eastAsia" w:ascii="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color w:val="000000"/>
          <w:szCs w:val="32"/>
          <w:lang w:val="en-US" w:eastAsia="zh-CN"/>
        </w:rPr>
      </w:pPr>
      <w:bookmarkStart w:id="4" w:name="_GoBack"/>
      <w:bookmarkEnd w:id="4"/>
    </w:p>
    <w:p>
      <w:pPr>
        <w:keepNext w:val="0"/>
        <w:keepLines w:val="0"/>
        <w:pageBreakBefore w:val="0"/>
        <w:widowControl w:val="0"/>
        <w:kinsoku/>
        <w:wordWrap/>
        <w:overflowPunct/>
        <w:topLinePunct w:val="0"/>
        <w:bidi w:val="0"/>
        <w:spacing w:line="560" w:lineRule="exact"/>
        <w:jc w:val="center"/>
        <w:textAlignment w:val="auto"/>
        <w:rPr>
          <w:rFonts w:hint="eastAsia" w:ascii="仿宋_GB2312"/>
          <w:color w:val="000000"/>
          <w:szCs w:val="32"/>
        </w:rPr>
      </w:pPr>
      <w:r>
        <w:rPr>
          <w:rFonts w:hint="eastAsia" w:ascii="仿宋_GB2312" w:hAnsi="仿宋_GB2312" w:eastAsia="仿宋_GB2312" w:cs="仿宋_GB2312"/>
          <w:sz w:val="32"/>
          <w:szCs w:val="40"/>
          <w:lang w:eastAsia="zh-CN"/>
        </w:rPr>
        <w:t>桂交规〔2024〕</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号</w:t>
      </w:r>
    </w:p>
    <w:p>
      <w:pPr>
        <w:keepNext w:val="0"/>
        <w:keepLines w:val="0"/>
        <w:pageBreakBefore w:val="0"/>
        <w:widowControl w:val="0"/>
        <w:kinsoku/>
        <w:wordWrap/>
        <w:overflowPunct/>
        <w:topLinePunct w:val="0"/>
        <w:bidi w:val="0"/>
        <w:spacing w:line="560" w:lineRule="exact"/>
        <w:jc w:val="both"/>
        <w:textAlignment w:val="auto"/>
        <w:rPr>
          <w:rFonts w:hint="eastAsia" w:ascii="仿宋_GB2312"/>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bookmarkStart w:id="0" w:name="Content"/>
      <w:r>
        <w:rPr>
          <w:rFonts w:ascii="方正小标宋简体" w:hAnsi="方正小标宋简体" w:eastAsia="方正小标宋简体" w:cs="方正小标宋简体"/>
          <w:color w:val="000000"/>
          <w:kern w:val="0"/>
          <w:sz w:val="43"/>
          <w:szCs w:val="43"/>
          <w:lang w:val="en-US" w:eastAsia="zh-CN" w:bidi="ar"/>
        </w:rPr>
        <w:t>广西壮族自治区交通运输厅关于印发</w:t>
      </w:r>
      <w:r>
        <w:rPr>
          <w:rFonts w:hint="eastAsia" w:ascii="方正小标宋简体" w:hAnsi="方正小标宋简体" w:eastAsia="方正小标宋简体" w:cs="方正小标宋简体"/>
          <w:color w:val="000000"/>
          <w:kern w:val="0"/>
          <w:sz w:val="43"/>
          <w:szCs w:val="43"/>
          <w:lang w:val="en-US" w:eastAsia="zh-CN" w:bidi="ar"/>
        </w:rPr>
        <w:t>自治区</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治理车辆超限超载领域道路货物运输企业</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信用评价及分级分类监管工作管理</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办法（试行）的通知</w:t>
      </w:r>
    </w:p>
    <w:p>
      <w:pPr>
        <w:keepNext w:val="0"/>
        <w:keepLines w:val="0"/>
        <w:pageBreakBefore w:val="0"/>
        <w:widowControl w:val="0"/>
        <w:suppressLineNumbers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640" w:lineRule="exact"/>
        <w:jc w:val="both"/>
        <w:textAlignment w:val="auto"/>
      </w:pPr>
      <w:r>
        <w:rPr>
          <w:rFonts w:ascii="仿宋_GB2312" w:hAnsi="宋体" w:eastAsia="仿宋_GB2312" w:cs="仿宋_GB2312"/>
          <w:color w:val="000000"/>
          <w:kern w:val="0"/>
          <w:sz w:val="31"/>
          <w:szCs w:val="31"/>
          <w:lang w:val="en-US" w:eastAsia="zh-CN" w:bidi="ar"/>
        </w:rPr>
        <w:t>各市交通运输局，自治区</w:t>
      </w:r>
      <w:r>
        <w:rPr>
          <w:rFonts w:hint="eastAsia" w:ascii="仿宋_GB2312" w:hAnsi="宋体" w:eastAsia="仿宋_GB2312" w:cs="仿宋_GB2312"/>
          <w:color w:val="000000"/>
          <w:kern w:val="0"/>
          <w:sz w:val="31"/>
          <w:szCs w:val="31"/>
          <w:lang w:val="en-US" w:eastAsia="zh-CN" w:bidi="ar"/>
        </w:rPr>
        <w:t xml:space="preserve">道路运输发展中心、公路发展中心、高速公路发展中心、交通运输综合行政执法局： </w:t>
      </w:r>
    </w:p>
    <w:p>
      <w:pPr>
        <w:keepNext w:val="0"/>
        <w:keepLines w:val="0"/>
        <w:pageBreakBefore w:val="0"/>
        <w:widowControl w:val="0"/>
        <w:suppressLineNumbers w:val="0"/>
        <w:kinsoku/>
        <w:wordWrap/>
        <w:overflowPunct/>
        <w:topLinePunct w:val="0"/>
        <w:autoSpaceDE/>
        <w:autoSpaceDN/>
        <w:bidi w:val="0"/>
        <w:adjustRightInd/>
        <w:snapToGrid/>
        <w:spacing w:line="640" w:lineRule="exact"/>
        <w:ind w:firstLine="632"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lang w:val="en-US" w:eastAsia="zh-CN"/>
        </w:rPr>
        <w:t>加强我区</w:t>
      </w:r>
      <w:r>
        <w:rPr>
          <w:rFonts w:hint="eastAsia" w:ascii="仿宋_GB2312" w:hAnsi="仿宋_GB2312" w:eastAsia="仿宋_GB2312" w:cs="仿宋_GB2312"/>
          <w:color w:val="auto"/>
          <w:sz w:val="32"/>
          <w:szCs w:val="32"/>
          <w:lang w:eastAsia="zh-CN"/>
        </w:rPr>
        <w:t>货物</w:t>
      </w:r>
      <w:r>
        <w:rPr>
          <w:rFonts w:hint="eastAsia" w:ascii="仿宋_GB2312" w:hAnsi="仿宋_GB2312" w:eastAsia="仿宋_GB2312" w:cs="仿宋_GB2312"/>
          <w:color w:val="auto"/>
          <w:sz w:val="32"/>
          <w:szCs w:val="32"/>
        </w:rPr>
        <w:t>运输</w:t>
      </w:r>
      <w:r>
        <w:rPr>
          <w:rFonts w:hint="eastAsia" w:ascii="仿宋_GB2312" w:hAnsi="仿宋_GB2312" w:eastAsia="仿宋_GB2312" w:cs="仿宋_GB2312"/>
          <w:color w:val="auto"/>
          <w:sz w:val="32"/>
          <w:szCs w:val="32"/>
          <w:lang w:val="en-US" w:eastAsia="zh-CN"/>
        </w:rPr>
        <w:t>市场管理，</w:t>
      </w:r>
      <w:r>
        <w:rPr>
          <w:rFonts w:hint="eastAsia" w:ascii="仿宋_GB2312" w:hAnsi="仿宋_GB2312" w:eastAsia="仿宋_GB2312" w:cs="仿宋_GB2312"/>
          <w:color w:val="auto"/>
          <w:kern w:val="0"/>
          <w:sz w:val="32"/>
          <w:szCs w:val="32"/>
        </w:rPr>
        <w:t>推进建立以信用为基础的新型监管机制，进一步规范</w:t>
      </w:r>
      <w:r>
        <w:rPr>
          <w:rFonts w:hint="eastAsia" w:ascii="仿宋_GB2312" w:hAnsi="仿宋_GB2312" w:eastAsia="仿宋_GB2312" w:cs="仿宋_GB2312"/>
          <w:color w:val="auto"/>
          <w:sz w:val="32"/>
          <w:szCs w:val="32"/>
        </w:rPr>
        <w:t>道路</w:t>
      </w:r>
      <w:r>
        <w:rPr>
          <w:rFonts w:hint="eastAsia" w:ascii="仿宋_GB2312" w:hAnsi="仿宋_GB2312" w:eastAsia="仿宋_GB2312" w:cs="仿宋_GB2312"/>
          <w:color w:val="auto"/>
          <w:sz w:val="32"/>
          <w:szCs w:val="32"/>
          <w:lang w:eastAsia="zh-CN"/>
        </w:rPr>
        <w:t>货物</w:t>
      </w:r>
      <w:r>
        <w:rPr>
          <w:rFonts w:hint="default" w:ascii="仿宋_GB2312" w:hAnsi="仿宋_GB2312" w:eastAsia="仿宋_GB2312" w:cs="仿宋_GB2312"/>
          <w:color w:val="auto"/>
          <w:kern w:val="0"/>
          <w:sz w:val="32"/>
          <w:szCs w:val="32"/>
          <w:lang w:val="en-US"/>
        </w:rPr>
        <w:t>运输</w:t>
      </w:r>
      <w:r>
        <w:rPr>
          <w:rFonts w:hint="eastAsia" w:ascii="仿宋_GB2312" w:hAnsi="仿宋_GB2312" w:eastAsia="仿宋_GB2312" w:cs="仿宋_GB2312"/>
          <w:color w:val="auto"/>
          <w:kern w:val="0"/>
          <w:sz w:val="32"/>
          <w:szCs w:val="32"/>
          <w:lang w:val="en-US" w:eastAsia="zh-CN"/>
        </w:rPr>
        <w:t>企业经营行为，提高</w:t>
      </w:r>
      <w:r>
        <w:rPr>
          <w:rFonts w:hint="eastAsia" w:ascii="仿宋_GB2312" w:hAnsi="仿宋_GB2312" w:eastAsia="仿宋_GB2312" w:cs="仿宋_GB2312"/>
          <w:color w:val="auto"/>
          <w:sz w:val="32"/>
          <w:szCs w:val="32"/>
        </w:rPr>
        <w:t>道路</w:t>
      </w:r>
      <w:r>
        <w:rPr>
          <w:rFonts w:hint="eastAsia" w:ascii="仿宋_GB2312" w:hAnsi="仿宋_GB2312" w:eastAsia="仿宋_GB2312" w:cs="仿宋_GB2312"/>
          <w:color w:val="auto"/>
          <w:sz w:val="32"/>
          <w:szCs w:val="32"/>
          <w:lang w:eastAsia="zh-CN"/>
        </w:rPr>
        <w:t>货物</w:t>
      </w:r>
      <w:r>
        <w:rPr>
          <w:rFonts w:hint="default" w:ascii="仿宋_GB2312" w:hAnsi="仿宋_GB2312" w:eastAsia="仿宋_GB2312" w:cs="仿宋_GB2312"/>
          <w:color w:val="auto"/>
          <w:kern w:val="0"/>
          <w:sz w:val="32"/>
          <w:szCs w:val="32"/>
          <w:lang w:val="en-US"/>
        </w:rPr>
        <w:t>运输</w:t>
      </w:r>
      <w:r>
        <w:rPr>
          <w:rFonts w:hint="eastAsia" w:ascii="仿宋_GB2312" w:hAnsi="仿宋_GB2312" w:eastAsia="仿宋_GB2312" w:cs="仿宋_GB2312"/>
          <w:color w:val="auto"/>
          <w:kern w:val="0"/>
          <w:sz w:val="32"/>
          <w:szCs w:val="32"/>
          <w:lang w:val="en-US" w:eastAsia="zh-CN"/>
        </w:rPr>
        <w:t>企业信用意识，</w:t>
      </w:r>
      <w:r>
        <w:rPr>
          <w:rFonts w:hint="eastAsia" w:ascii="仿宋_GB2312" w:hAnsi="仿宋_GB2312" w:eastAsia="仿宋_GB2312" w:cs="仿宋_GB2312"/>
          <w:sz w:val="32"/>
          <w:szCs w:val="32"/>
          <w:rtl w:val="0"/>
          <w:lang w:eastAsia="zh-CN"/>
        </w:rPr>
        <w:t>营造</w:t>
      </w:r>
      <w:r>
        <w:rPr>
          <w:rFonts w:hint="eastAsia" w:ascii="仿宋_GB2312" w:hAnsi="仿宋_GB2312" w:eastAsia="仿宋_GB2312" w:cs="仿宋_GB2312"/>
          <w:sz w:val="32"/>
          <w:szCs w:val="32"/>
        </w:rPr>
        <w:t>公平诚信的市场环境</w:t>
      </w:r>
      <w:r>
        <w:rPr>
          <w:rFonts w:hint="eastAsia" w:ascii="仿宋_GB2312" w:hAnsi="仿宋_GB2312" w:eastAsia="仿宋_GB2312" w:cs="仿宋_GB2312"/>
          <w:color w:val="auto"/>
          <w:kern w:val="0"/>
          <w:sz w:val="32"/>
          <w:szCs w:val="32"/>
        </w:rPr>
        <w:t>，</w:t>
      </w:r>
      <w:r>
        <w:rPr>
          <w:rFonts w:hint="eastAsia" w:ascii="仿宋_GB2312" w:hAnsi="宋体" w:eastAsia="仿宋_GB2312" w:cs="仿宋_GB2312"/>
          <w:color w:val="000000"/>
          <w:kern w:val="0"/>
          <w:sz w:val="31"/>
          <w:szCs w:val="31"/>
          <w:lang w:val="en-US" w:eastAsia="zh-CN" w:bidi="ar"/>
        </w:rPr>
        <w:t>我厅制定了《广西壮族自治区治理车辆超限超载领域道路货物运输企业信用评价及分级分类监管工作管理办法（试行）》，经厅务会审议通过，现予以印发，请遵照执行。</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pPr>
    </w:p>
    <w:p>
      <w:pPr>
        <w:pStyle w:val="2"/>
      </w:pP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1282" w:rightChars="406"/>
        <w:jc w:val="right"/>
        <w:textAlignment w:val="auto"/>
      </w:pPr>
      <w:r>
        <w:rPr>
          <w:rFonts w:hint="eastAsia" w:ascii="仿宋_GB2312" w:hAnsi="宋体" w:eastAsia="仿宋_GB2312" w:cs="仿宋_GB2312"/>
          <w:color w:val="000000"/>
          <w:kern w:val="0"/>
          <w:sz w:val="31"/>
          <w:szCs w:val="31"/>
          <w:lang w:val="en-US" w:eastAsia="zh-CN" w:bidi="ar"/>
        </w:rPr>
        <w:t>2024年</w:t>
      </w:r>
      <w:r>
        <w:rPr>
          <w:rFonts w:hint="eastAsia" w:ascii="仿宋_GB2312" w:hAnsi="宋体" w:cs="仿宋_GB2312"/>
          <w:color w:val="000000"/>
          <w:kern w:val="0"/>
          <w:sz w:val="31"/>
          <w:szCs w:val="31"/>
          <w:lang w:val="en-US" w:eastAsia="zh-CN" w:bidi="ar"/>
        </w:rPr>
        <w:t>10</w:t>
      </w:r>
      <w:r>
        <w:rPr>
          <w:rFonts w:hint="eastAsia" w:ascii="仿宋_GB2312" w:hAnsi="宋体" w:eastAsia="仿宋_GB2312" w:cs="仿宋_GB2312"/>
          <w:color w:val="000000"/>
          <w:kern w:val="0"/>
          <w:sz w:val="31"/>
          <w:szCs w:val="31"/>
          <w:lang w:val="en-US" w:eastAsia="zh-CN" w:bidi="ar"/>
        </w:rPr>
        <w:t>月</w:t>
      </w:r>
      <w:r>
        <w:rPr>
          <w:rFonts w:hint="eastAsia" w:ascii="仿宋_GB2312" w:hAnsi="宋体" w:cs="仿宋_GB2312"/>
          <w:color w:val="000000"/>
          <w:kern w:val="0"/>
          <w:sz w:val="31"/>
          <w:szCs w:val="31"/>
          <w:lang w:val="en-US" w:eastAsia="zh-CN" w:bidi="ar"/>
        </w:rPr>
        <w:t>10</w:t>
      </w:r>
      <w:r>
        <w:rPr>
          <w:rFonts w:hint="eastAsia" w:ascii="仿宋_GB2312" w:hAnsi="宋体" w:eastAsia="仿宋_GB2312" w:cs="仿宋_GB2312"/>
          <w:color w:val="000000"/>
          <w:kern w:val="0"/>
          <w:sz w:val="31"/>
          <w:szCs w:val="31"/>
          <w:lang w:val="en-US" w:eastAsia="zh-CN" w:bidi="ar"/>
        </w:rPr>
        <w:t>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306" w:firstLineChars="1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（此件公开发布 ）</w:t>
      </w:r>
    </w:p>
    <w:p>
      <w:pPr>
        <w:keepNext w:val="0"/>
        <w:keepLines w:val="0"/>
        <w:pageBreakBefore w:val="0"/>
        <w:widowControl w:val="0"/>
        <w:kinsoku/>
        <w:wordWrap/>
        <w:overflowPunct/>
        <w:topLinePunct w:val="0"/>
        <w:autoSpaceDE w:val="0"/>
        <w:autoSpaceDN w:val="0"/>
        <w:bidi w:val="0"/>
        <w:adjustRightInd w:val="0"/>
        <w:spacing w:line="540" w:lineRule="exact"/>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仿宋_GB2312" w:hAnsi="宋体" w:eastAsia="仿宋_GB2312" w:cs="仿宋_GB2312"/>
          <w:color w:val="000000"/>
          <w:kern w:val="0"/>
          <w:sz w:val="31"/>
          <w:szCs w:val="31"/>
          <w:lang w:val="en-US" w:eastAsia="zh-CN" w:bidi="ar"/>
        </w:rPr>
        <w:br w:type="page"/>
      </w:r>
      <w:bookmarkStart w:id="1" w:name="_Hlk58850412"/>
      <w:r>
        <w:rPr>
          <w:rFonts w:hint="default" w:ascii="方正小标宋简体" w:hAnsi="方正小标宋简体" w:eastAsia="方正小标宋简体" w:cs="方正小标宋简体"/>
          <w:color w:val="auto"/>
          <w:kern w:val="0"/>
          <w:sz w:val="44"/>
          <w:szCs w:val="44"/>
          <w:lang w:val="en-US"/>
        </w:rPr>
        <w:t>广西壮族自治区治理车辆超限超载</w:t>
      </w:r>
      <w:r>
        <w:rPr>
          <w:rFonts w:hint="eastAsia" w:ascii="方正小标宋简体" w:hAnsi="方正小标宋简体" w:eastAsia="方正小标宋简体" w:cs="方正小标宋简体"/>
          <w:color w:val="auto"/>
          <w:kern w:val="0"/>
          <w:sz w:val="44"/>
          <w:szCs w:val="44"/>
        </w:rPr>
        <w:t>领域</w:t>
      </w:r>
      <w:r>
        <w:rPr>
          <w:rFonts w:hint="eastAsia" w:ascii="方正小标宋简体" w:hAnsi="方正小标宋简体" w:eastAsia="方正小标宋简体" w:cs="方正小标宋简体"/>
          <w:color w:val="auto"/>
          <w:kern w:val="0"/>
          <w:sz w:val="44"/>
          <w:szCs w:val="44"/>
          <w:lang w:eastAsia="zh-CN"/>
        </w:rPr>
        <w:t>道路</w:t>
      </w:r>
    </w:p>
    <w:p>
      <w:pPr>
        <w:keepNext w:val="0"/>
        <w:keepLines w:val="0"/>
        <w:pageBreakBefore w:val="0"/>
        <w:widowControl w:val="0"/>
        <w:kinsoku/>
        <w:wordWrap/>
        <w:overflowPunct/>
        <w:topLinePunct w:val="0"/>
        <w:autoSpaceDE w:val="0"/>
        <w:autoSpaceDN w:val="0"/>
        <w:bidi w:val="0"/>
        <w:adjustRightInd w:val="0"/>
        <w:spacing w:line="540" w:lineRule="exact"/>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lang w:eastAsia="zh-CN"/>
        </w:rPr>
        <w:t>货物运输企业</w:t>
      </w:r>
      <w:r>
        <w:rPr>
          <w:rFonts w:hint="eastAsia" w:ascii="方正小标宋简体" w:hAnsi="方正小标宋简体" w:eastAsia="方正小标宋简体" w:cs="方正小标宋简体"/>
          <w:color w:val="auto"/>
          <w:kern w:val="0"/>
          <w:sz w:val="44"/>
          <w:szCs w:val="44"/>
        </w:rPr>
        <w:t>信用评价及分级</w:t>
      </w:r>
      <w:r>
        <w:rPr>
          <w:rFonts w:hint="eastAsia" w:ascii="方正小标宋简体" w:hAnsi="方正小标宋简体" w:eastAsia="方正小标宋简体" w:cs="方正小标宋简体"/>
          <w:color w:val="auto"/>
          <w:kern w:val="0"/>
          <w:sz w:val="44"/>
          <w:szCs w:val="44"/>
          <w:lang w:eastAsia="zh-CN"/>
        </w:rPr>
        <w:t>分类</w:t>
      </w:r>
    </w:p>
    <w:p>
      <w:pPr>
        <w:keepNext w:val="0"/>
        <w:keepLines w:val="0"/>
        <w:pageBreakBefore w:val="0"/>
        <w:widowControl w:val="0"/>
        <w:kinsoku/>
        <w:wordWrap/>
        <w:overflowPunct/>
        <w:topLinePunct w:val="0"/>
        <w:autoSpaceDE w:val="0"/>
        <w:autoSpaceDN w:val="0"/>
        <w:bidi w:val="0"/>
        <w:adjustRightInd w:val="0"/>
        <w:spacing w:line="540" w:lineRule="exact"/>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rPr>
        <w:t>监管工作管理办法</w:t>
      </w:r>
      <w:bookmarkEnd w:id="1"/>
      <w:r>
        <w:rPr>
          <w:rFonts w:hint="eastAsia" w:ascii="方正小标宋简体" w:hAnsi="方正小标宋简体" w:eastAsia="方正小标宋简体" w:cs="方正小标宋简体"/>
          <w:color w:val="auto"/>
          <w:kern w:val="0"/>
          <w:sz w:val="44"/>
          <w:szCs w:val="44"/>
          <w:lang w:eastAsia="zh-CN"/>
        </w:rPr>
        <w:t>（试行）</w:t>
      </w:r>
    </w:p>
    <w:p>
      <w:pPr>
        <w:pStyle w:val="5"/>
        <w:keepNext w:val="0"/>
        <w:keepLines w:val="0"/>
        <w:pageBreakBefore w:val="0"/>
        <w:widowControl w:val="0"/>
        <w:kinsoku/>
        <w:wordWrap/>
        <w:overflowPunct/>
        <w:topLinePunct w:val="0"/>
        <w:bidi w:val="0"/>
        <w:spacing w:line="540" w:lineRule="exact"/>
        <w:jc w:val="center"/>
        <w:textAlignment w:val="auto"/>
        <w:rPr>
          <w:color w:val="auto"/>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ascii="仿宋" w:hAnsi="仿宋" w:eastAsia="仿宋"/>
          <w:color w:val="000000"/>
          <w:sz w:val="32"/>
          <w:szCs w:val="32"/>
        </w:rPr>
      </w:pPr>
      <w:r>
        <w:rPr>
          <w:rFonts w:hint="eastAsia" w:ascii="黑体" w:hAnsi="黑体" w:eastAsia="黑体" w:cs="黑体"/>
          <w:color w:val="000000"/>
          <w:sz w:val="32"/>
          <w:szCs w:val="32"/>
        </w:rPr>
        <w:t>第一章 总  则</w:t>
      </w:r>
    </w:p>
    <w:p>
      <w:pPr>
        <w:keepNext w:val="0"/>
        <w:keepLines w:val="0"/>
        <w:pageBreakBefore w:val="0"/>
        <w:widowControl w:val="0"/>
        <w:kinsoku/>
        <w:wordWrap/>
        <w:overflowPunct/>
        <w:topLinePunct w:val="0"/>
        <w:autoSpaceDE/>
        <w:autoSpaceDN/>
        <w:bidi w:val="0"/>
        <w:adjustRightInd/>
        <w:spacing w:line="540" w:lineRule="exact"/>
        <w:ind w:firstLine="632" w:firstLineChars="200"/>
        <w:jc w:val="both"/>
        <w:textAlignment w:val="auto"/>
        <w:rPr>
          <w:rFonts w:hint="eastAsia" w:ascii="黑体" w:hAnsi="黑体" w:eastAsia="黑体"/>
          <w:color w:val="000000"/>
          <w:kern w:val="44"/>
          <w:sz w:val="32"/>
          <w:szCs w:val="32"/>
        </w:rPr>
      </w:pP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olor w:val="000000"/>
          <w:kern w:val="44"/>
          <w:sz w:val="32"/>
          <w:szCs w:val="32"/>
        </w:rPr>
        <w:t>第一条</w:t>
      </w:r>
      <w:r>
        <w:rPr>
          <w:rFonts w:hint="eastAsia" w:ascii="黑体" w:hAnsi="黑体" w:eastAsia="黑体"/>
          <w:color w:val="000000"/>
          <w:kern w:val="44"/>
          <w:sz w:val="32"/>
          <w:szCs w:val="32"/>
          <w:lang w:val="en-US" w:eastAsia="zh-CN"/>
        </w:rPr>
        <w:t xml:space="preserve">  </w:t>
      </w:r>
      <w:r>
        <w:rPr>
          <w:rFonts w:hint="eastAsia" w:ascii="仿宋_GB2312" w:hAnsi="仿宋_GB2312" w:eastAsia="仿宋_GB2312" w:cs="仿宋_GB2312"/>
          <w:color w:val="000000"/>
          <w:kern w:val="0"/>
          <w:sz w:val="32"/>
          <w:szCs w:val="32"/>
        </w:rPr>
        <w:t>为推进</w:t>
      </w:r>
      <w:r>
        <w:rPr>
          <w:rFonts w:hint="default" w:ascii="仿宋_GB2312" w:hAnsi="仿宋_GB2312" w:eastAsia="仿宋_GB2312" w:cs="仿宋_GB2312"/>
          <w:color w:val="000000"/>
          <w:kern w:val="0"/>
          <w:sz w:val="32"/>
          <w:szCs w:val="32"/>
          <w:lang w:val="en-US"/>
        </w:rPr>
        <w:t>我区治理车辆超限超载（以下简称治超）领域</w:t>
      </w:r>
      <w:r>
        <w:rPr>
          <w:rFonts w:hint="eastAsia" w:ascii="仿宋_GB2312" w:hAnsi="仿宋_GB2312" w:eastAsia="仿宋_GB2312" w:cs="仿宋_GB2312"/>
          <w:color w:val="000000"/>
          <w:kern w:val="0"/>
          <w:sz w:val="32"/>
          <w:szCs w:val="32"/>
        </w:rPr>
        <w:t>信用评价工作，建立以信用为基础的新型监管机制，进一步规范</w:t>
      </w:r>
      <w:r>
        <w:rPr>
          <w:rFonts w:hint="default" w:ascii="仿宋_GB2312" w:hAnsi="仿宋_GB2312" w:eastAsia="仿宋_GB2312" w:cs="仿宋_GB2312"/>
          <w:color w:val="000000"/>
          <w:kern w:val="0"/>
          <w:sz w:val="32"/>
          <w:szCs w:val="32"/>
          <w:lang w:val="en-US"/>
        </w:rPr>
        <w:t>交通运输</w:t>
      </w:r>
      <w:r>
        <w:rPr>
          <w:rFonts w:hint="eastAsia" w:ascii="仿宋_GB2312" w:hAnsi="仿宋_GB2312" w:eastAsia="仿宋_GB2312" w:cs="仿宋_GB2312"/>
          <w:color w:val="000000"/>
          <w:kern w:val="0"/>
          <w:sz w:val="32"/>
          <w:szCs w:val="32"/>
        </w:rPr>
        <w:t>市场秩序，优化营商环境，</w:t>
      </w:r>
      <w:r>
        <w:rPr>
          <w:rFonts w:hint="eastAsia" w:ascii="仿宋_GB2312" w:hAnsi="仿宋_GB2312" w:eastAsia="仿宋_GB2312" w:cs="仿宋_GB2312"/>
          <w:strike w:val="0"/>
          <w:dstrike w:val="0"/>
          <w:color w:val="000000"/>
          <w:kern w:val="0"/>
          <w:sz w:val="32"/>
          <w:szCs w:val="32"/>
        </w:rPr>
        <w:t>根据</w:t>
      </w:r>
      <w:r>
        <w:rPr>
          <w:rFonts w:hint="eastAsia" w:ascii="仿宋_GB2312" w:hAnsi="仿宋_GB2312" w:eastAsia="仿宋_GB2312" w:cs="仿宋_GB2312"/>
          <w:strike w:val="0"/>
          <w:dstrike w:val="0"/>
          <w:color w:val="000000"/>
          <w:kern w:val="0"/>
          <w:sz w:val="32"/>
          <w:szCs w:val="32"/>
          <w:lang w:eastAsia="zh-CN"/>
        </w:rPr>
        <w:t>《广西壮族自治区社会信用条例》、</w:t>
      </w:r>
      <w:r>
        <w:rPr>
          <w:rFonts w:hint="eastAsia" w:ascii="仿宋_GB2312" w:hAnsi="仿宋_GB2312" w:eastAsia="仿宋_GB2312" w:cs="仿宋_GB2312"/>
          <w:strike w:val="0"/>
          <w:dstrike w:val="0"/>
          <w:color w:val="000000"/>
          <w:kern w:val="0"/>
          <w:sz w:val="32"/>
          <w:szCs w:val="32"/>
        </w:rPr>
        <w:t>《交通运输部办公厅关于界定严重违法失信超限超载运输行为和相关责任主体有关事项的通知》（交办公路〔2017〕8 号）</w:t>
      </w:r>
      <w:r>
        <w:rPr>
          <w:rFonts w:hint="eastAsia" w:ascii="仿宋_GB2312" w:hAnsi="仿宋_GB2312" w:eastAsia="仿宋_GB2312" w:cs="仿宋_GB2312"/>
          <w:strike w:val="0"/>
          <w:dstrike w:val="0"/>
          <w:color w:val="000000"/>
          <w:kern w:val="0"/>
          <w:sz w:val="32"/>
          <w:szCs w:val="32"/>
          <w:lang w:eastAsia="zh-CN"/>
        </w:rPr>
        <w:t>等有关规定，结合</w:t>
      </w:r>
      <w:r>
        <w:rPr>
          <w:rFonts w:hint="eastAsia" w:ascii="仿宋_GB2312" w:hAnsi="仿宋_GB2312" w:eastAsia="仿宋_GB2312" w:cs="仿宋_GB2312"/>
          <w:strike w:val="0"/>
          <w:dstrike w:val="0"/>
          <w:color w:val="000000"/>
          <w:kern w:val="0"/>
          <w:sz w:val="32"/>
          <w:szCs w:val="32"/>
        </w:rPr>
        <w:t>《广西壮族自治区交通运输厅等13部门关于印发自治区治理车辆超限超载三年行动方案（2023—2025年）的通知》(桂交规〔2023〕10号)，</w:t>
      </w:r>
      <w:r>
        <w:rPr>
          <w:rFonts w:hint="eastAsia" w:ascii="仿宋_GB2312" w:hAnsi="仿宋_GB2312" w:eastAsia="仿宋_GB2312" w:cs="仿宋_GB2312"/>
          <w:color w:val="000000"/>
          <w:kern w:val="0"/>
          <w:sz w:val="32"/>
          <w:szCs w:val="32"/>
        </w:rPr>
        <w:t>制定本办法。</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default" w:ascii="仿宋_GB2312" w:hAnsi="仿宋_GB2312" w:eastAsia="仿宋_GB2312" w:cs="仿宋_GB2312"/>
          <w:color w:val="000000"/>
          <w:sz w:val="32"/>
          <w:szCs w:val="32"/>
        </w:rPr>
      </w:pPr>
      <w:r>
        <w:rPr>
          <w:rFonts w:hint="eastAsia" w:ascii="黑体" w:hAnsi="黑体" w:eastAsia="黑体"/>
          <w:color w:val="000000"/>
          <w:kern w:val="44"/>
          <w:sz w:val="32"/>
          <w:szCs w:val="32"/>
        </w:rPr>
        <w:t>第二条</w:t>
      </w:r>
      <w:r>
        <w:rPr>
          <w:rFonts w:hint="eastAsia" w:ascii="黑体" w:hAnsi="黑体" w:eastAsia="黑体"/>
          <w:color w:val="000000"/>
          <w:kern w:val="44"/>
          <w:sz w:val="32"/>
          <w:szCs w:val="32"/>
          <w:lang w:val="en-US" w:eastAsia="zh-CN"/>
        </w:rPr>
        <w:t xml:space="preserve">  </w:t>
      </w:r>
      <w:r>
        <w:rPr>
          <w:rFonts w:hint="eastAsia" w:ascii="仿宋_GB2312" w:hAnsi="仿宋_GB2312" w:eastAsia="仿宋_GB2312" w:cs="仿宋_GB2312"/>
          <w:color w:val="000000"/>
          <w:kern w:val="2"/>
          <w:sz w:val="32"/>
          <w:szCs w:val="32"/>
          <w:lang w:val="en-US" w:eastAsia="zh-CN"/>
        </w:rPr>
        <w:t>在治超领域</w:t>
      </w:r>
      <w:r>
        <w:rPr>
          <w:rFonts w:hint="eastAsia" w:ascii="仿宋_GB2312" w:hAnsi="仿宋_GB2312" w:eastAsia="仿宋_GB2312" w:cs="仿宋_GB2312"/>
          <w:color w:val="000000"/>
          <w:sz w:val="32"/>
          <w:szCs w:val="32"/>
          <w:lang w:eastAsia="zh-CN"/>
        </w:rPr>
        <w:t>对广西行政区域内</w:t>
      </w: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kern w:val="0"/>
          <w:sz w:val="32"/>
          <w:szCs w:val="32"/>
        </w:rPr>
        <w:t>信用评价</w:t>
      </w:r>
      <w:r>
        <w:rPr>
          <w:rFonts w:hint="default" w:ascii="仿宋_GB2312" w:hAnsi="仿宋_GB2312" w:eastAsia="仿宋_GB2312" w:cs="仿宋_GB2312"/>
          <w:color w:val="000000"/>
          <w:kern w:val="0"/>
          <w:sz w:val="32"/>
          <w:szCs w:val="32"/>
          <w:lang w:val="en-US"/>
        </w:rPr>
        <w:t>与</w:t>
      </w:r>
      <w:r>
        <w:rPr>
          <w:rFonts w:hint="eastAsia" w:ascii="仿宋_GB2312" w:hAnsi="仿宋_GB2312" w:eastAsia="仿宋_GB2312" w:cs="仿宋_GB2312"/>
          <w:color w:val="000000"/>
          <w:kern w:val="0"/>
          <w:sz w:val="32"/>
          <w:szCs w:val="32"/>
        </w:rPr>
        <w:t>分级</w:t>
      </w:r>
      <w:r>
        <w:rPr>
          <w:rFonts w:hint="eastAsia" w:ascii="仿宋_GB2312" w:hAnsi="仿宋_GB2312" w:eastAsia="仿宋_GB2312" w:cs="仿宋_GB2312"/>
          <w:color w:val="000000"/>
          <w:kern w:val="0"/>
          <w:sz w:val="32"/>
          <w:szCs w:val="32"/>
          <w:lang w:eastAsia="zh-CN"/>
        </w:rPr>
        <w:t>分类</w:t>
      </w:r>
      <w:r>
        <w:rPr>
          <w:rFonts w:hint="eastAsia" w:ascii="仿宋_GB2312" w:hAnsi="仿宋_GB2312" w:eastAsia="仿宋_GB2312" w:cs="仿宋_GB2312"/>
          <w:color w:val="000000"/>
          <w:kern w:val="0"/>
          <w:sz w:val="32"/>
          <w:szCs w:val="32"/>
        </w:rPr>
        <w:t>监管</w:t>
      </w:r>
      <w:r>
        <w:rPr>
          <w:rFonts w:hint="eastAsia" w:ascii="仿宋_GB2312" w:hAnsi="仿宋_GB2312" w:eastAsia="仿宋_GB2312" w:cs="仿宋_GB2312"/>
          <w:color w:val="000000"/>
          <w:kern w:val="0"/>
          <w:sz w:val="32"/>
          <w:szCs w:val="32"/>
          <w:lang w:eastAsia="zh-CN"/>
        </w:rPr>
        <w:t>，适用本办法。</w:t>
      </w:r>
    </w:p>
    <w:p>
      <w:pPr>
        <w:pStyle w:val="5"/>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CESI黑体-GB2312" w:hAnsi="CESI黑体-GB2312" w:eastAsia="CESI黑体-GB2312" w:cs="CESI黑体-GB2312"/>
          <w:color w:val="000000"/>
          <w:kern w:val="0"/>
          <w:sz w:val="32"/>
          <w:szCs w:val="32"/>
          <w:lang w:val="en-US" w:eastAsia="zh-CN" w:bidi="ar-SA"/>
        </w:rPr>
        <w:t xml:space="preserve">第三条  </w:t>
      </w:r>
      <w:r>
        <w:rPr>
          <w:rFonts w:hint="default" w:ascii="仿宋_GB2312" w:hAnsi="仿宋_GB2312" w:eastAsia="仿宋_GB2312" w:cs="仿宋_GB2312"/>
          <w:color w:val="000000"/>
          <w:kern w:val="0"/>
          <w:sz w:val="32"/>
          <w:szCs w:val="32"/>
          <w:lang w:val="en-US"/>
        </w:rPr>
        <w:t>治超</w:t>
      </w:r>
      <w:r>
        <w:rPr>
          <w:rFonts w:hint="eastAsia" w:ascii="仿宋_GB2312" w:hAnsi="仿宋_GB2312" w:eastAsia="仿宋_GB2312" w:cs="仿宋_GB2312"/>
          <w:color w:val="000000"/>
          <w:kern w:val="0"/>
          <w:sz w:val="32"/>
          <w:szCs w:val="32"/>
        </w:rPr>
        <w:t>领域信用评价</w:t>
      </w:r>
      <w:r>
        <w:rPr>
          <w:rFonts w:hint="default" w:ascii="仿宋_GB2312" w:hAnsi="仿宋_GB2312" w:eastAsia="仿宋_GB2312" w:cs="仿宋_GB2312"/>
          <w:color w:val="000000"/>
          <w:kern w:val="0"/>
          <w:sz w:val="32"/>
          <w:szCs w:val="32"/>
          <w:lang w:val="en-US" w:eastAsia="zh-CN" w:bidi="ar-SA"/>
        </w:rPr>
        <w:t>是指交通运输</w:t>
      </w:r>
      <w:r>
        <w:rPr>
          <w:rFonts w:hint="eastAsia" w:ascii="仿宋_GB2312" w:hAnsi="仿宋_GB2312" w:eastAsia="仿宋_GB2312" w:cs="仿宋_GB2312"/>
          <w:color w:val="000000"/>
          <w:kern w:val="0"/>
          <w:sz w:val="32"/>
          <w:szCs w:val="32"/>
          <w:lang w:val="en-US" w:eastAsia="zh-CN" w:bidi="ar-SA"/>
        </w:rPr>
        <w:t>主管</w:t>
      </w:r>
      <w:r>
        <w:rPr>
          <w:rFonts w:hint="default" w:ascii="仿宋_GB2312" w:hAnsi="仿宋_GB2312" w:eastAsia="仿宋_GB2312" w:cs="仿宋_GB2312"/>
          <w:color w:val="000000"/>
          <w:kern w:val="0"/>
          <w:sz w:val="32"/>
          <w:szCs w:val="32"/>
          <w:lang w:val="en-US" w:eastAsia="zh-CN" w:bidi="ar-SA"/>
        </w:rPr>
        <w:t>部门</w:t>
      </w:r>
      <w:r>
        <w:rPr>
          <w:rFonts w:hint="eastAsia" w:ascii="仿宋_GB2312" w:hAnsi="仿宋_GB2312" w:eastAsia="仿宋_GB2312" w:cs="仿宋_GB2312"/>
          <w:color w:val="000000"/>
          <w:kern w:val="0"/>
          <w:sz w:val="32"/>
          <w:szCs w:val="32"/>
          <w:lang w:val="en-US" w:eastAsia="zh-CN" w:bidi="ar-SA"/>
        </w:rPr>
        <w:t>在评价年度内对</w:t>
      </w: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w:t>
      </w:r>
      <w:r>
        <w:rPr>
          <w:rFonts w:hint="eastAsia" w:ascii="仿宋_GB2312" w:hAnsi="仿宋_GB2312" w:eastAsia="仿宋_GB2312" w:cs="仿宋_GB2312"/>
          <w:color w:val="000000"/>
          <w:sz w:val="32"/>
          <w:szCs w:val="32"/>
          <w:lang w:eastAsia="zh-CN"/>
        </w:rPr>
        <w:t>遵守治超有关法律法规方面进行的综合评价</w:t>
      </w:r>
      <w:r>
        <w:rPr>
          <w:rFonts w:hint="default"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olor w:val="000000"/>
          <w:kern w:val="44"/>
          <w:sz w:val="32"/>
          <w:szCs w:val="32"/>
        </w:rPr>
        <w:t>第</w:t>
      </w:r>
      <w:r>
        <w:rPr>
          <w:rFonts w:hint="default" w:ascii="黑体" w:hAnsi="黑体" w:eastAsia="黑体"/>
          <w:color w:val="000000"/>
          <w:kern w:val="44"/>
          <w:sz w:val="32"/>
          <w:szCs w:val="32"/>
          <w:lang w:val="en-US"/>
        </w:rPr>
        <w:t>四</w:t>
      </w:r>
      <w:r>
        <w:rPr>
          <w:rFonts w:hint="eastAsia" w:ascii="黑体" w:hAnsi="黑体" w:eastAsia="黑体"/>
          <w:color w:val="000000"/>
          <w:kern w:val="44"/>
          <w:sz w:val="32"/>
          <w:szCs w:val="32"/>
        </w:rPr>
        <w:t>条</w:t>
      </w:r>
      <w:r>
        <w:rPr>
          <w:rFonts w:hint="eastAsia" w:ascii="黑体" w:hAnsi="黑体" w:eastAsia="黑体"/>
          <w:color w:val="000000"/>
          <w:kern w:val="44"/>
          <w:sz w:val="32"/>
          <w:szCs w:val="32"/>
          <w:lang w:val="en-US" w:eastAsia="zh-CN"/>
        </w:rPr>
        <w:t xml:space="preserve">  </w:t>
      </w:r>
      <w:r>
        <w:rPr>
          <w:rFonts w:hint="default" w:ascii="仿宋_GB2312" w:hAnsi="仿宋_GB2312" w:eastAsia="仿宋_GB2312" w:cs="仿宋_GB2312"/>
          <w:color w:val="000000"/>
          <w:kern w:val="0"/>
          <w:sz w:val="32"/>
          <w:szCs w:val="32"/>
          <w:lang w:val="en-US"/>
        </w:rPr>
        <w:t>治超</w:t>
      </w:r>
      <w:r>
        <w:rPr>
          <w:rFonts w:hint="eastAsia" w:ascii="仿宋_GB2312" w:hAnsi="仿宋_GB2312" w:eastAsia="仿宋_GB2312" w:cs="仿宋_GB2312"/>
          <w:color w:val="000000"/>
          <w:kern w:val="0"/>
          <w:sz w:val="32"/>
          <w:szCs w:val="32"/>
        </w:rPr>
        <w:t>领域信用评价应当坚持公开、公平、公正、科学、合理的原则，采取定量与定性相结合的方式，实行全</w:t>
      </w:r>
      <w:r>
        <w:rPr>
          <w:rFonts w:hint="default" w:ascii="仿宋_GB2312" w:hAnsi="仿宋_GB2312" w:eastAsia="仿宋_GB2312" w:cs="仿宋_GB2312"/>
          <w:color w:val="000000"/>
          <w:kern w:val="0"/>
          <w:sz w:val="32"/>
          <w:szCs w:val="32"/>
          <w:lang w:val="en-US"/>
        </w:rPr>
        <w:t>区</w:t>
      </w:r>
      <w:r>
        <w:rPr>
          <w:rFonts w:hint="eastAsia" w:ascii="仿宋_GB2312" w:hAnsi="仿宋_GB2312" w:eastAsia="仿宋_GB2312" w:cs="仿宋_GB2312"/>
          <w:color w:val="000000"/>
          <w:kern w:val="0"/>
          <w:sz w:val="32"/>
          <w:szCs w:val="32"/>
        </w:rPr>
        <w:t>统一的标准、程序，推动</w:t>
      </w:r>
      <w:r>
        <w:rPr>
          <w:rFonts w:hint="default" w:ascii="仿宋_GB2312" w:hAnsi="仿宋_GB2312" w:eastAsia="仿宋_GB2312" w:cs="仿宋_GB2312"/>
          <w:color w:val="000000"/>
          <w:kern w:val="0"/>
          <w:sz w:val="32"/>
          <w:szCs w:val="32"/>
          <w:lang w:val="en-US"/>
        </w:rPr>
        <w:t>治超</w:t>
      </w:r>
      <w:r>
        <w:rPr>
          <w:rFonts w:hint="eastAsia" w:ascii="仿宋_GB2312" w:hAnsi="仿宋_GB2312" w:eastAsia="仿宋_GB2312" w:cs="仿宋_GB2312"/>
          <w:color w:val="000000"/>
          <w:kern w:val="0"/>
          <w:sz w:val="32"/>
          <w:szCs w:val="32"/>
        </w:rPr>
        <w:t>领域信用体系建设。</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olor w:val="000000"/>
          <w:kern w:val="44"/>
          <w:sz w:val="32"/>
          <w:szCs w:val="32"/>
        </w:rPr>
        <w:t>第</w:t>
      </w:r>
      <w:r>
        <w:rPr>
          <w:rFonts w:hint="default" w:ascii="黑体" w:hAnsi="黑体" w:eastAsia="黑体"/>
          <w:color w:val="000000"/>
          <w:kern w:val="44"/>
          <w:sz w:val="32"/>
          <w:szCs w:val="32"/>
          <w:lang w:val="en-US"/>
        </w:rPr>
        <w:t>五</w:t>
      </w:r>
      <w:r>
        <w:rPr>
          <w:rFonts w:hint="eastAsia" w:ascii="黑体" w:hAnsi="黑体" w:eastAsia="黑体"/>
          <w:color w:val="000000"/>
          <w:kern w:val="44"/>
          <w:sz w:val="32"/>
          <w:szCs w:val="32"/>
        </w:rPr>
        <w:t>条</w:t>
      </w:r>
      <w:r>
        <w:rPr>
          <w:rFonts w:hint="eastAsia" w:ascii="黑体" w:hAnsi="黑体" w:eastAsia="黑体"/>
          <w:color w:val="000000"/>
          <w:kern w:val="44"/>
          <w:sz w:val="32"/>
          <w:szCs w:val="32"/>
          <w:lang w:val="en-US" w:eastAsia="zh-CN"/>
        </w:rPr>
        <w:t xml:space="preserve">  </w:t>
      </w:r>
      <w:r>
        <w:rPr>
          <w:rFonts w:hint="default" w:ascii="仿宋_GB2312" w:hAnsi="仿宋_GB2312" w:eastAsia="仿宋_GB2312" w:cs="仿宋_GB2312"/>
          <w:color w:val="000000"/>
          <w:kern w:val="0"/>
          <w:sz w:val="32"/>
          <w:szCs w:val="32"/>
          <w:lang w:val="en-US"/>
        </w:rPr>
        <w:t>自治区交通运输</w:t>
      </w:r>
      <w:r>
        <w:rPr>
          <w:rFonts w:hint="eastAsia" w:ascii="仿宋_GB2312" w:hAnsi="仿宋_GB2312" w:eastAsia="仿宋_GB2312" w:cs="仿宋_GB2312"/>
          <w:color w:val="000000"/>
          <w:kern w:val="0"/>
          <w:sz w:val="32"/>
          <w:szCs w:val="32"/>
          <w:lang w:val="en-US" w:eastAsia="zh-CN"/>
        </w:rPr>
        <w:t>厅</w:t>
      </w:r>
      <w:r>
        <w:rPr>
          <w:rFonts w:hint="eastAsia" w:ascii="仿宋_GB2312" w:hAnsi="仿宋_GB2312" w:eastAsia="仿宋_GB2312" w:cs="仿宋_GB2312"/>
          <w:color w:val="000000"/>
          <w:kern w:val="0"/>
          <w:sz w:val="32"/>
          <w:szCs w:val="32"/>
        </w:rPr>
        <w:t>负责组织</w:t>
      </w:r>
      <w:r>
        <w:rPr>
          <w:rFonts w:hint="eastAsia" w:ascii="仿宋_GB2312" w:hAnsi="仿宋_GB2312" w:eastAsia="仿宋_GB2312" w:cs="仿宋_GB2312"/>
          <w:strike w:val="0"/>
          <w:dstrike w:val="0"/>
          <w:color w:val="000000"/>
          <w:kern w:val="0"/>
          <w:sz w:val="32"/>
          <w:szCs w:val="32"/>
          <w:lang w:eastAsia="zh-CN"/>
        </w:rPr>
        <w:t>实施</w:t>
      </w:r>
      <w:r>
        <w:rPr>
          <w:rFonts w:hint="eastAsia" w:ascii="仿宋_GB2312" w:hAnsi="仿宋_GB2312" w:eastAsia="仿宋_GB2312" w:cs="仿宋_GB2312"/>
          <w:color w:val="000000"/>
          <w:kern w:val="0"/>
          <w:sz w:val="32"/>
          <w:szCs w:val="32"/>
        </w:rPr>
        <w:t>全</w:t>
      </w:r>
      <w:r>
        <w:rPr>
          <w:rFonts w:hint="default" w:ascii="仿宋_GB2312" w:hAnsi="仿宋_GB2312" w:eastAsia="仿宋_GB2312" w:cs="仿宋_GB2312"/>
          <w:color w:val="000000"/>
          <w:kern w:val="0"/>
          <w:sz w:val="32"/>
          <w:szCs w:val="32"/>
          <w:lang w:val="en-US"/>
        </w:rPr>
        <w:t>区治超领域</w:t>
      </w:r>
      <w:r>
        <w:rPr>
          <w:rFonts w:hint="eastAsia" w:ascii="仿宋_GB2312" w:hAnsi="仿宋_GB2312" w:eastAsia="仿宋_GB2312" w:cs="仿宋_GB2312"/>
          <w:color w:val="000000"/>
          <w:kern w:val="0"/>
          <w:sz w:val="32"/>
          <w:szCs w:val="32"/>
        </w:rPr>
        <w:t>信用评价</w:t>
      </w:r>
      <w:r>
        <w:rPr>
          <w:rFonts w:hint="eastAsia" w:ascii="仿宋_GB2312" w:hAnsi="仿宋_GB2312" w:eastAsia="仿宋_GB2312" w:cs="仿宋_GB2312"/>
          <w:color w:val="000000"/>
          <w:kern w:val="0"/>
          <w:sz w:val="32"/>
          <w:szCs w:val="32"/>
          <w:lang w:eastAsia="zh-CN"/>
        </w:rPr>
        <w:t>及分级分类监管</w:t>
      </w:r>
      <w:r>
        <w:rPr>
          <w:rFonts w:hint="eastAsia" w:ascii="仿宋_GB2312" w:hAnsi="仿宋_GB2312" w:eastAsia="仿宋_GB2312" w:cs="仿宋_GB2312"/>
          <w:color w:val="000000"/>
          <w:kern w:val="0"/>
          <w:sz w:val="32"/>
          <w:szCs w:val="32"/>
        </w:rPr>
        <w:t>工作</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eastAsia="zh-CN"/>
        </w:rPr>
        <w:t>自治区道路运输发展中心负责实施全区</w:t>
      </w:r>
      <w:r>
        <w:rPr>
          <w:rFonts w:hint="eastAsia" w:ascii="仿宋_GB2312" w:hAnsi="仿宋_GB2312" w:eastAsia="仿宋_GB2312" w:cs="仿宋_GB2312"/>
          <w:color w:val="000000"/>
          <w:sz w:val="32"/>
          <w:szCs w:val="32"/>
          <w:lang w:eastAsia="zh-CN"/>
        </w:rPr>
        <w:t>治超领域信用评价事务性工作。</w:t>
      </w:r>
    </w:p>
    <w:p>
      <w:pPr>
        <w:pStyle w:val="5"/>
        <w:keepNext w:val="0"/>
        <w:keepLines w:val="0"/>
        <w:pageBreakBefore w:val="0"/>
        <w:widowControl w:val="0"/>
        <w:kinsoku/>
        <w:wordWrap/>
        <w:overflowPunct/>
        <w:topLinePunct w:val="0"/>
        <w:autoSpaceDE/>
        <w:autoSpaceDN/>
        <w:bidi w:val="0"/>
        <w:adjustRightInd/>
        <w:spacing w:afterLines="0" w:line="540" w:lineRule="exact"/>
        <w:ind w:firstLine="64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自治区交通运输综合行政执法局负责将高速公路治超查获得的</w:t>
      </w: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kern w:val="0"/>
          <w:sz w:val="32"/>
          <w:szCs w:val="32"/>
          <w:lang w:val="en-US" w:eastAsia="zh-CN" w:bidi="ar-SA"/>
        </w:rPr>
        <w:t>货运车辆及驾驶员有关情况抄告车籍地的交通运输主管部门，指导市、县（市、区）级交通运输综合行政执法机构对</w:t>
      </w: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w:t>
      </w:r>
      <w:r>
        <w:rPr>
          <w:rFonts w:hint="eastAsia" w:ascii="仿宋_GB2312" w:hAnsi="仿宋_GB2312" w:eastAsia="仿宋_GB2312" w:cs="仿宋_GB2312"/>
          <w:color w:val="000000"/>
          <w:kern w:val="0"/>
          <w:sz w:val="32"/>
          <w:szCs w:val="32"/>
          <w:lang w:val="en-US" w:eastAsia="zh-CN" w:bidi="ar-SA"/>
        </w:rPr>
        <w:t>实施分级分类监管工作。</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市、县（市、区）</w:t>
      </w:r>
      <w:r>
        <w:rPr>
          <w:rFonts w:hint="default" w:ascii="仿宋_GB2312" w:hAnsi="仿宋_GB2312" w:eastAsia="仿宋_GB2312" w:cs="仿宋_GB2312"/>
          <w:color w:val="000000"/>
          <w:kern w:val="0"/>
          <w:sz w:val="32"/>
          <w:szCs w:val="32"/>
          <w:lang w:val="en-US"/>
        </w:rPr>
        <w:t>交通运输</w:t>
      </w:r>
      <w:r>
        <w:rPr>
          <w:rFonts w:hint="eastAsia" w:ascii="仿宋_GB2312" w:hAnsi="仿宋_GB2312" w:eastAsia="仿宋_GB2312" w:cs="仿宋_GB2312"/>
          <w:color w:val="000000"/>
          <w:kern w:val="0"/>
          <w:sz w:val="32"/>
          <w:szCs w:val="32"/>
          <w:lang w:val="en-US" w:eastAsia="zh-CN"/>
        </w:rPr>
        <w:t>主管</w:t>
      </w:r>
      <w:r>
        <w:rPr>
          <w:rFonts w:hint="default" w:ascii="仿宋_GB2312" w:hAnsi="仿宋_GB2312" w:eastAsia="仿宋_GB2312" w:cs="仿宋_GB2312"/>
          <w:color w:val="000000"/>
          <w:kern w:val="0"/>
          <w:sz w:val="32"/>
          <w:szCs w:val="32"/>
          <w:lang w:val="en-US"/>
        </w:rPr>
        <w:t>部门</w:t>
      </w:r>
      <w:r>
        <w:rPr>
          <w:rFonts w:hint="eastAsia" w:ascii="仿宋_GB2312" w:hAnsi="仿宋_GB2312" w:eastAsia="仿宋_GB2312" w:cs="仿宋_GB2312"/>
          <w:color w:val="000000"/>
          <w:kern w:val="0"/>
          <w:sz w:val="32"/>
          <w:szCs w:val="32"/>
          <w:lang w:val="en-US" w:eastAsia="zh-CN"/>
        </w:rPr>
        <w:t>负责组织实施本行政区域内的</w:t>
      </w:r>
      <w:r>
        <w:rPr>
          <w:rFonts w:hint="eastAsia" w:ascii="仿宋_GB2312" w:hAnsi="仿宋_GB2312" w:eastAsia="仿宋_GB2312" w:cs="仿宋_GB2312"/>
          <w:color w:val="000000"/>
          <w:sz w:val="32"/>
          <w:szCs w:val="32"/>
          <w:lang w:eastAsia="zh-CN"/>
        </w:rPr>
        <w:t>治超领域信用评价</w:t>
      </w:r>
      <w:r>
        <w:rPr>
          <w:rFonts w:hint="default" w:ascii="仿宋_GB2312" w:hAnsi="仿宋_GB2312" w:eastAsia="仿宋_GB2312" w:cs="仿宋_GB2312"/>
          <w:color w:val="000000"/>
          <w:kern w:val="0"/>
          <w:sz w:val="32"/>
          <w:szCs w:val="32"/>
          <w:lang w:val="en-US"/>
        </w:rPr>
        <w:t>及分级</w:t>
      </w:r>
      <w:r>
        <w:rPr>
          <w:rFonts w:hint="eastAsia" w:ascii="仿宋_GB2312" w:hAnsi="仿宋_GB2312" w:eastAsia="仿宋_GB2312" w:cs="仿宋_GB2312"/>
          <w:color w:val="000000"/>
          <w:kern w:val="0"/>
          <w:sz w:val="32"/>
          <w:szCs w:val="32"/>
          <w:lang w:val="en-US" w:eastAsia="zh-CN"/>
        </w:rPr>
        <w:t>分类</w:t>
      </w:r>
      <w:r>
        <w:rPr>
          <w:rFonts w:hint="default" w:ascii="仿宋_GB2312" w:hAnsi="仿宋_GB2312" w:eastAsia="仿宋_GB2312" w:cs="仿宋_GB2312"/>
          <w:color w:val="000000"/>
          <w:kern w:val="0"/>
          <w:sz w:val="32"/>
          <w:szCs w:val="32"/>
          <w:lang w:val="en-US"/>
        </w:rPr>
        <w:t>监管</w:t>
      </w:r>
      <w:r>
        <w:rPr>
          <w:rFonts w:hint="eastAsia" w:ascii="仿宋_GB2312" w:hAnsi="仿宋_GB2312" w:eastAsia="仿宋_GB2312" w:cs="仿宋_GB2312"/>
          <w:color w:val="000000"/>
          <w:kern w:val="0"/>
          <w:sz w:val="32"/>
          <w:szCs w:val="32"/>
        </w:rPr>
        <w:t>工作。</w:t>
      </w:r>
    </w:p>
    <w:p>
      <w:pPr>
        <w:keepNext w:val="0"/>
        <w:keepLines w:val="0"/>
        <w:pageBreakBefore w:val="0"/>
        <w:widowControl w:val="0"/>
        <w:kinsoku/>
        <w:wordWrap/>
        <w:overflowPunct/>
        <w:topLinePunct w:val="0"/>
        <w:autoSpaceDE/>
        <w:autoSpaceDN/>
        <w:bidi w:val="0"/>
        <w:adjustRightInd/>
        <w:spacing w:afterLines="0" w:line="540" w:lineRule="exact"/>
        <w:jc w:val="both"/>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afterLines="0" w:line="540" w:lineRule="exact"/>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章  信用评价分级及</w:t>
      </w:r>
      <w:r>
        <w:rPr>
          <w:rFonts w:hint="eastAsia" w:ascii="黑体" w:hAnsi="黑体" w:eastAsia="黑体" w:cs="黑体"/>
          <w:color w:val="000000"/>
          <w:sz w:val="32"/>
          <w:szCs w:val="32"/>
          <w:lang w:eastAsia="zh-CN"/>
        </w:rPr>
        <w:t>计分</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CESI黑体-GB2312" w:hAnsi="CESI黑体-GB2312" w:eastAsia="CESI黑体-GB2312" w:cs="CESI黑体-GB2312"/>
          <w:color w:val="000000"/>
          <w:sz w:val="32"/>
          <w:szCs w:val="32"/>
        </w:rPr>
      </w:pP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CESI黑体-GB2312" w:hAnsi="CESI黑体-GB2312" w:eastAsia="CESI黑体-GB2312" w:cs="CESI黑体-GB2312"/>
          <w:color w:val="000000"/>
          <w:sz w:val="32"/>
          <w:szCs w:val="32"/>
        </w:rPr>
        <w:t>第</w:t>
      </w:r>
      <w:r>
        <w:rPr>
          <w:rFonts w:hint="eastAsia" w:ascii="CESI黑体-GB2312" w:hAnsi="CESI黑体-GB2312" w:eastAsia="CESI黑体-GB2312" w:cs="CESI黑体-GB2312"/>
          <w:color w:val="000000"/>
          <w:sz w:val="32"/>
          <w:szCs w:val="32"/>
          <w:lang w:val="en-US" w:eastAsia="zh-CN"/>
        </w:rPr>
        <w:t>六</w:t>
      </w:r>
      <w:r>
        <w:rPr>
          <w:rFonts w:hint="eastAsia" w:ascii="CESI黑体-GB2312" w:hAnsi="CESI黑体-GB2312" w:eastAsia="CESI黑体-GB2312" w:cs="CESI黑体-GB2312"/>
          <w:color w:val="000000"/>
          <w:sz w:val="32"/>
          <w:szCs w:val="32"/>
        </w:rPr>
        <w:t>条</w:t>
      </w:r>
      <w:r>
        <w:rPr>
          <w:rFonts w:hint="eastAsia" w:ascii="CESI黑体-GB2312" w:hAnsi="CESI黑体-GB2312" w:eastAsia="CESI黑体-GB2312" w:cs="CESI黑体-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治超领域</w:t>
      </w: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运输企业信用等级分为AA级（信用状况优秀）、A级（信用状况良好）、</w:t>
      </w:r>
      <w:r>
        <w:rPr>
          <w:rFonts w:hint="default" w:ascii="仿宋_GB2312" w:hAnsi="仿宋_GB2312" w:eastAsia="仿宋_GB2312" w:cs="仿宋_GB2312"/>
          <w:color w:val="000000"/>
          <w:sz w:val="32"/>
          <w:szCs w:val="32"/>
          <w:lang w:val="en-US"/>
        </w:rPr>
        <w:t>B</w:t>
      </w:r>
      <w:r>
        <w:rPr>
          <w:rFonts w:hint="eastAsia" w:ascii="仿宋_GB2312" w:hAnsi="仿宋_GB2312" w:eastAsia="仿宋_GB2312" w:cs="仿宋_GB2312"/>
          <w:color w:val="000000"/>
          <w:sz w:val="32"/>
          <w:szCs w:val="32"/>
        </w:rPr>
        <w:t>级（信用状况较好）、</w:t>
      </w:r>
      <w:r>
        <w:rPr>
          <w:rFonts w:hint="default" w:ascii="仿宋_GB2312" w:hAnsi="仿宋_GB2312" w:eastAsia="仿宋_GB2312" w:cs="仿宋_GB2312"/>
          <w:color w:val="000000"/>
          <w:sz w:val="32"/>
          <w:szCs w:val="32"/>
          <w:lang w:val="en-US"/>
        </w:rPr>
        <w:t>C</w:t>
      </w:r>
      <w:r>
        <w:rPr>
          <w:rFonts w:hint="eastAsia" w:ascii="仿宋_GB2312" w:hAnsi="仿宋_GB2312" w:eastAsia="仿宋_GB2312" w:cs="仿宋_GB2312"/>
          <w:color w:val="000000"/>
          <w:sz w:val="32"/>
          <w:szCs w:val="32"/>
        </w:rPr>
        <w:t>级（信用状况一般）、</w:t>
      </w:r>
      <w:r>
        <w:rPr>
          <w:rFonts w:hint="default" w:ascii="仿宋_GB2312" w:hAnsi="仿宋_GB2312" w:eastAsia="仿宋_GB2312" w:cs="仿宋_GB2312"/>
          <w:color w:val="000000"/>
          <w:sz w:val="32"/>
          <w:szCs w:val="32"/>
          <w:lang w:val="en-US"/>
        </w:rPr>
        <w:t>D</w:t>
      </w:r>
      <w:r>
        <w:rPr>
          <w:rFonts w:hint="eastAsia" w:ascii="仿宋_GB2312" w:hAnsi="仿宋_GB2312" w:eastAsia="仿宋_GB2312" w:cs="仿宋_GB2312"/>
          <w:color w:val="000000"/>
          <w:sz w:val="32"/>
          <w:szCs w:val="32"/>
        </w:rPr>
        <w:t>级（信用状况较差）五个等级。</w:t>
      </w:r>
    </w:p>
    <w:p>
      <w:pPr>
        <w:pStyle w:val="5"/>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default" w:eastAsia="仿宋_GB2312"/>
          <w:color w:val="000000"/>
          <w:lang w:val="en-US" w:eastAsia="zh-CN"/>
        </w:rPr>
      </w:pPr>
      <w:r>
        <w:rPr>
          <w:rFonts w:hint="eastAsia" w:ascii="CESI黑体-GB2312" w:hAnsi="CESI黑体-GB2312" w:eastAsia="CESI黑体-GB2312" w:cs="CESI黑体-GB2312"/>
          <w:color w:val="000000"/>
          <w:sz w:val="32"/>
          <w:szCs w:val="32"/>
          <w:lang w:eastAsia="zh-CN"/>
        </w:rPr>
        <w:t>第七条</w:t>
      </w:r>
      <w:r>
        <w:rPr>
          <w:rFonts w:hint="eastAsia" w:ascii="CESI黑体-GB2312" w:hAnsi="CESI黑体-GB2312" w:eastAsia="CESI黑体-GB2312" w:cs="CESI黑体-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治超领域</w:t>
      </w: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w:t>
      </w:r>
      <w:r>
        <w:rPr>
          <w:rFonts w:hint="eastAsia" w:ascii="仿宋_GB2312" w:hAnsi="仿宋_GB2312" w:eastAsia="仿宋_GB2312" w:cs="仿宋_GB2312"/>
          <w:color w:val="000000"/>
          <w:sz w:val="32"/>
          <w:szCs w:val="32"/>
          <w:lang w:eastAsia="zh-CN"/>
        </w:rPr>
        <w:t>信用评价实行计分制，评价周期为一年，</w:t>
      </w:r>
      <w:r>
        <w:rPr>
          <w:rFonts w:hint="eastAsia" w:ascii="仿宋_GB2312" w:hAnsi="仿宋_GB2312" w:eastAsia="仿宋_GB2312" w:cs="仿宋_GB2312"/>
          <w:color w:val="000000"/>
          <w:sz w:val="32"/>
          <w:szCs w:val="32"/>
          <w:lang w:val="en-US" w:eastAsia="zh-CN"/>
        </w:rPr>
        <w:t>满分为100分。出现本办法规定情形的，予以计分（计分标准见附件）。一个考核周期届满，经确定信用等级后，该考核周期内的计分予以清除，不转入下一个考核周期。</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CESI黑体-GB2312" w:hAnsi="CESI黑体-GB2312" w:eastAsia="CESI黑体-GB2312" w:cs="CESI黑体-GB2312"/>
          <w:color w:val="000000"/>
          <w:sz w:val="32"/>
          <w:szCs w:val="32"/>
          <w:lang w:eastAsia="zh-CN"/>
        </w:rPr>
      </w:pPr>
      <w:r>
        <w:rPr>
          <w:rFonts w:hint="eastAsia" w:ascii="CESI黑体-GB2312" w:hAnsi="CESI黑体-GB2312" w:eastAsia="CESI黑体-GB2312" w:cs="CESI黑体-GB2312"/>
          <w:color w:val="000000"/>
          <w:sz w:val="32"/>
          <w:szCs w:val="32"/>
          <w:lang w:eastAsia="zh-CN"/>
        </w:rPr>
        <w:t>第八条</w:t>
      </w:r>
      <w:r>
        <w:rPr>
          <w:rFonts w:hint="eastAsia" w:ascii="CESI黑体-GB2312" w:hAnsi="CESI黑体-GB2312" w:eastAsia="CESI黑体-GB2312" w:cs="CESI黑体-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治超领域</w:t>
      </w: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w:t>
      </w:r>
      <w:r>
        <w:rPr>
          <w:rFonts w:hint="eastAsia" w:ascii="仿宋_GB2312" w:hAnsi="仿宋_GB2312" w:eastAsia="仿宋_GB2312" w:cs="仿宋_GB2312"/>
          <w:color w:val="000000"/>
          <w:sz w:val="32"/>
          <w:szCs w:val="32"/>
          <w:lang w:eastAsia="zh-CN"/>
        </w:rPr>
        <w:t>信用等级应按下列标准评定：</w:t>
      </w:r>
    </w:p>
    <w:p>
      <w:pPr>
        <w:keepNext w:val="0"/>
        <w:keepLines w:val="0"/>
        <w:pageBreakBefore w:val="0"/>
        <w:widowControl w:val="0"/>
        <w:numPr>
          <w:ilvl w:val="0"/>
          <w:numId w:val="1"/>
        </w:numPr>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考核周期内得分</w:t>
      </w:r>
      <w:r>
        <w:rPr>
          <w:rFonts w:hint="eastAsia" w:ascii="仿宋_GB2312" w:hAnsi="仿宋_GB2312" w:eastAsia="仿宋_GB2312" w:cs="仿宋_GB2312"/>
          <w:color w:val="000000"/>
          <w:sz w:val="32"/>
          <w:szCs w:val="32"/>
          <w:lang w:val="en-US" w:eastAsia="zh-CN"/>
        </w:rPr>
        <w:t>95分及以上的,</w:t>
      </w:r>
      <w:r>
        <w:rPr>
          <w:rFonts w:hint="eastAsia" w:ascii="仿宋_GB2312" w:hAnsi="仿宋_GB2312" w:eastAsia="仿宋_GB2312" w:cs="仿宋_GB2312"/>
          <w:color w:val="000000"/>
          <w:sz w:val="32"/>
          <w:szCs w:val="32"/>
        </w:rPr>
        <w:t>评定为AA级</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考核周期内得分大于或者等于</w:t>
      </w:r>
      <w:r>
        <w:rPr>
          <w:rFonts w:hint="eastAsia" w:ascii="仿宋_GB2312" w:hAnsi="仿宋_GB2312" w:eastAsia="仿宋_GB2312" w:cs="仿宋_GB2312"/>
          <w:color w:val="000000"/>
          <w:sz w:val="32"/>
          <w:szCs w:val="32"/>
          <w:lang w:val="en-US" w:eastAsia="zh-CN"/>
        </w:rPr>
        <w:t>85分</w:t>
      </w:r>
      <w:r>
        <w:rPr>
          <w:rFonts w:hint="eastAsia" w:ascii="仿宋_GB2312" w:hAnsi="仿宋_GB2312" w:eastAsia="仿宋_GB2312" w:cs="仿宋_GB2312"/>
          <w:color w:val="000000"/>
          <w:sz w:val="32"/>
          <w:szCs w:val="32"/>
          <w:lang w:eastAsia="zh-CN"/>
        </w:rPr>
        <w:t>且小于</w:t>
      </w:r>
      <w:r>
        <w:rPr>
          <w:rFonts w:hint="eastAsia" w:ascii="仿宋_GB2312" w:hAnsi="仿宋_GB2312" w:eastAsia="仿宋_GB2312" w:cs="仿宋_GB2312"/>
          <w:color w:val="000000"/>
          <w:sz w:val="32"/>
          <w:szCs w:val="32"/>
          <w:lang w:val="en-US" w:eastAsia="zh-CN"/>
        </w:rPr>
        <w:t>95分的,</w:t>
      </w:r>
      <w:r>
        <w:rPr>
          <w:rFonts w:hint="eastAsia" w:ascii="仿宋_GB2312" w:hAnsi="仿宋_GB2312" w:eastAsia="仿宋_GB2312" w:cs="仿宋_GB2312"/>
          <w:color w:val="000000"/>
          <w:sz w:val="32"/>
          <w:szCs w:val="32"/>
        </w:rPr>
        <w:t>评定为A级</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考核周期内得分大于或者等于</w:t>
      </w:r>
      <w:r>
        <w:rPr>
          <w:rFonts w:hint="eastAsia" w:ascii="仿宋_GB2312" w:hAnsi="仿宋_GB2312" w:eastAsia="仿宋_GB2312" w:cs="仿宋_GB2312"/>
          <w:color w:val="000000"/>
          <w:sz w:val="32"/>
          <w:szCs w:val="32"/>
          <w:lang w:val="en-US" w:eastAsia="zh-CN"/>
        </w:rPr>
        <w:t>75分且小于85分的，</w:t>
      </w:r>
      <w:r>
        <w:rPr>
          <w:rFonts w:hint="eastAsia" w:ascii="仿宋_GB2312" w:hAnsi="仿宋_GB2312" w:eastAsia="仿宋_GB2312" w:cs="仿宋_GB2312"/>
          <w:color w:val="000000"/>
          <w:sz w:val="32"/>
          <w:szCs w:val="32"/>
        </w:rPr>
        <w:t>评定为</w:t>
      </w:r>
      <w:r>
        <w:rPr>
          <w:rFonts w:hint="eastAsia" w:ascii="仿宋_GB2312" w:hAnsi="仿宋_GB2312" w:eastAsia="仿宋_GB2312" w:cs="仿宋_GB2312"/>
          <w:color w:val="000000"/>
          <w:sz w:val="32"/>
          <w:szCs w:val="32"/>
          <w:lang w:val="en-US" w:eastAsia="zh-CN"/>
        </w:rPr>
        <w:t>B</w:t>
      </w:r>
      <w:r>
        <w:rPr>
          <w:rFonts w:hint="eastAsia" w:ascii="仿宋_GB2312" w:hAnsi="仿宋_GB2312" w:eastAsia="仿宋_GB2312" w:cs="仿宋_GB2312"/>
          <w:color w:val="000000"/>
          <w:sz w:val="32"/>
          <w:szCs w:val="32"/>
        </w:rPr>
        <w:t>级；</w:t>
      </w:r>
    </w:p>
    <w:p>
      <w:pPr>
        <w:keepNext w:val="0"/>
        <w:keepLines w:val="0"/>
        <w:pageBreakBefore w:val="0"/>
        <w:widowControl w:val="0"/>
        <w:numPr>
          <w:ilvl w:val="0"/>
          <w:numId w:val="1"/>
        </w:numPr>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考核周期内得分大于或者等于</w:t>
      </w:r>
      <w:r>
        <w:rPr>
          <w:rFonts w:hint="eastAsia" w:ascii="仿宋_GB2312" w:hAnsi="仿宋_GB2312" w:eastAsia="仿宋_GB2312" w:cs="仿宋_GB2312"/>
          <w:color w:val="000000"/>
          <w:sz w:val="32"/>
          <w:szCs w:val="32"/>
          <w:lang w:val="en-US" w:eastAsia="zh-CN"/>
        </w:rPr>
        <w:t>60分且小于75分的，</w:t>
      </w:r>
      <w:r>
        <w:rPr>
          <w:rFonts w:hint="eastAsia" w:ascii="仿宋_GB2312" w:hAnsi="仿宋_GB2312" w:eastAsia="仿宋_GB2312" w:cs="仿宋_GB2312"/>
          <w:color w:val="000000"/>
          <w:sz w:val="32"/>
          <w:szCs w:val="32"/>
        </w:rPr>
        <w:t>评定为</w:t>
      </w:r>
      <w:r>
        <w:rPr>
          <w:rFonts w:hint="eastAsia" w:ascii="仿宋_GB2312" w:hAnsi="仿宋_GB2312" w:eastAsia="仿宋_GB2312" w:cs="仿宋_GB2312"/>
          <w:color w:val="000000"/>
          <w:sz w:val="32"/>
          <w:szCs w:val="32"/>
          <w:lang w:val="en-US" w:eastAsia="zh-CN"/>
        </w:rPr>
        <w:t>C</w:t>
      </w:r>
      <w:r>
        <w:rPr>
          <w:rFonts w:hint="eastAsia" w:ascii="仿宋_GB2312" w:hAnsi="仿宋_GB2312" w:eastAsia="仿宋_GB2312" w:cs="仿宋_GB2312"/>
          <w:color w:val="000000"/>
          <w:sz w:val="32"/>
          <w:szCs w:val="32"/>
        </w:rPr>
        <w:t>级；</w:t>
      </w:r>
    </w:p>
    <w:p>
      <w:pPr>
        <w:keepNext w:val="0"/>
        <w:keepLines w:val="0"/>
        <w:pageBreakBefore w:val="0"/>
        <w:widowControl w:val="0"/>
        <w:numPr>
          <w:ilvl w:val="0"/>
          <w:numId w:val="1"/>
        </w:numPr>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考核周期内得分小于</w:t>
      </w:r>
      <w:r>
        <w:rPr>
          <w:rFonts w:hint="eastAsia" w:ascii="仿宋_GB2312" w:hAnsi="仿宋_GB2312" w:eastAsia="仿宋_GB2312" w:cs="仿宋_GB2312"/>
          <w:color w:val="000000"/>
          <w:sz w:val="32"/>
          <w:szCs w:val="32"/>
          <w:lang w:val="en-US" w:eastAsia="zh-CN"/>
        </w:rPr>
        <w:t>60分的，</w:t>
      </w:r>
      <w:r>
        <w:rPr>
          <w:rFonts w:hint="eastAsia" w:ascii="仿宋_GB2312" w:hAnsi="仿宋_GB2312" w:eastAsia="仿宋_GB2312" w:cs="仿宋_GB2312"/>
          <w:color w:val="000000"/>
          <w:sz w:val="32"/>
          <w:szCs w:val="32"/>
        </w:rPr>
        <w:t>评定为</w:t>
      </w:r>
      <w:r>
        <w:rPr>
          <w:rFonts w:hint="eastAsia" w:ascii="仿宋_GB2312" w:hAnsi="仿宋_GB2312" w:eastAsia="仿宋_GB2312" w:cs="仿宋_GB2312"/>
          <w:color w:val="000000"/>
          <w:sz w:val="32"/>
          <w:szCs w:val="32"/>
          <w:lang w:val="en-US" w:eastAsia="zh-CN"/>
        </w:rPr>
        <w:t>D</w:t>
      </w:r>
      <w:r>
        <w:rPr>
          <w:rFonts w:hint="eastAsia" w:ascii="仿宋_GB2312" w:hAnsi="仿宋_GB2312" w:eastAsia="仿宋_GB2312" w:cs="仿宋_GB2312"/>
          <w:color w:val="000000"/>
          <w:sz w:val="32"/>
          <w:szCs w:val="32"/>
        </w:rPr>
        <w:t>级</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CESI黑体-GB2312" w:hAnsi="CESI黑体-GB2312" w:eastAsia="CESI黑体-GB2312" w:cs="CESI黑体-GB2312"/>
          <w:color w:val="000000"/>
          <w:sz w:val="32"/>
          <w:szCs w:val="32"/>
          <w:lang w:eastAsia="zh-CN"/>
        </w:rPr>
        <w:t>第九条</w:t>
      </w:r>
      <w:r>
        <w:rPr>
          <w:rFonts w:hint="eastAsia" w:ascii="CESI黑体-GB2312" w:hAnsi="CESI黑体-GB2312" w:eastAsia="CESI黑体-GB2312" w:cs="CESI黑体-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治超领域</w:t>
      </w:r>
      <w:r>
        <w:rPr>
          <w:rFonts w:hint="eastAsia" w:ascii="仿宋_GB2312" w:hAnsi="仿宋_GB2312" w:eastAsia="仿宋_GB2312" w:cs="仿宋_GB2312"/>
          <w:color w:val="000000"/>
          <w:sz w:val="32"/>
          <w:szCs w:val="32"/>
          <w:lang w:eastAsia="zh-CN"/>
        </w:rPr>
        <w:t>信</w:t>
      </w: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w:t>
      </w:r>
      <w:r>
        <w:rPr>
          <w:rFonts w:hint="eastAsia" w:ascii="仿宋_GB2312" w:hAnsi="仿宋_GB2312" w:eastAsia="仿宋_GB2312" w:cs="仿宋_GB2312"/>
          <w:color w:val="000000"/>
          <w:sz w:val="32"/>
          <w:szCs w:val="32"/>
          <w:lang w:eastAsia="zh-CN"/>
        </w:rPr>
        <w:t>用评价</w:t>
      </w:r>
      <w:r>
        <w:rPr>
          <w:rFonts w:hint="eastAsia" w:ascii="仿宋_GB2312" w:hAnsi="仿宋_GB2312" w:eastAsia="仿宋_GB2312" w:cs="仿宋_GB2312"/>
          <w:color w:val="000000"/>
          <w:sz w:val="32"/>
          <w:szCs w:val="32"/>
          <w:lang w:val="en-US" w:eastAsia="zh-CN"/>
        </w:rPr>
        <w:t>初始等级原则上为B</w:t>
      </w:r>
      <w:r>
        <w:rPr>
          <w:rFonts w:hint="eastAsia" w:ascii="仿宋_GB2312" w:hAnsi="仿宋_GB2312" w:eastAsia="仿宋_GB2312" w:cs="仿宋_GB2312"/>
          <w:color w:val="000000"/>
          <w:sz w:val="32"/>
          <w:szCs w:val="32"/>
        </w:rPr>
        <w:t>级</w:t>
      </w:r>
      <w:r>
        <w:rPr>
          <w:rFonts w:hint="eastAsia" w:ascii="仿宋_GB2312" w:hAnsi="仿宋_GB2312" w:eastAsia="仿宋_GB2312" w:cs="仿宋_GB2312"/>
          <w:color w:val="000000"/>
          <w:sz w:val="32"/>
          <w:szCs w:val="32"/>
          <w:lang w:eastAsia="zh-CN"/>
        </w:rPr>
        <w:t>。经营满一个考核周期后，其信用等级根据本办法第八条及其得分情况进行调整，予以升级、降级或者保持原等级。</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b/>
          <w:color w:val="000000"/>
          <w:sz w:val="32"/>
          <w:szCs w:val="32"/>
        </w:rPr>
      </w:pPr>
      <w:r>
        <w:rPr>
          <w:rFonts w:hint="eastAsia" w:ascii="黑体" w:hAnsi="黑体" w:eastAsia="黑体" w:cs="黑体"/>
          <w:color w:val="000000"/>
          <w:sz w:val="32"/>
          <w:szCs w:val="32"/>
        </w:rPr>
        <w:t>第十条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在评价周期内，出现下列失信行为的情况</w:t>
      </w:r>
      <w:r>
        <w:rPr>
          <w:rFonts w:hint="eastAsia" w:ascii="仿宋_GB2312" w:hAnsi="仿宋_GB2312" w:eastAsia="仿宋_GB2312" w:cs="仿宋_GB2312"/>
          <w:strike w:val="0"/>
          <w:dstrike w:val="0"/>
          <w:color w:val="000000"/>
          <w:sz w:val="32"/>
          <w:szCs w:val="32"/>
        </w:rPr>
        <w:t>的</w:t>
      </w:r>
      <w:r>
        <w:rPr>
          <w:rFonts w:hint="eastAsia" w:ascii="仿宋_GB2312" w:hAnsi="仿宋_GB2312" w:eastAsia="仿宋_GB2312" w:cs="仿宋_GB2312"/>
          <w:color w:val="000000"/>
          <w:sz w:val="32"/>
          <w:szCs w:val="32"/>
        </w:rPr>
        <w:t>，直接定为D级：</w:t>
      </w:r>
    </w:p>
    <w:p>
      <w:pPr>
        <w:pStyle w:val="5"/>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被列入严重违法失信超限超载运输责任主体名单的；</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）拒不履行</w:t>
      </w:r>
      <w:r>
        <w:rPr>
          <w:rFonts w:hint="eastAsia" w:ascii="仿宋_GB2312" w:hAnsi="仿宋_GB2312" w:eastAsia="仿宋_GB2312" w:cs="仿宋_GB2312"/>
          <w:color w:val="000000"/>
          <w:sz w:val="32"/>
          <w:szCs w:val="32"/>
          <w:lang w:eastAsia="zh-CN"/>
        </w:rPr>
        <w:t>交通运输综合行政执法机构</w:t>
      </w:r>
      <w:r>
        <w:rPr>
          <w:rFonts w:hint="eastAsia" w:ascii="仿宋_GB2312" w:hAnsi="仿宋_GB2312" w:eastAsia="仿宋_GB2312" w:cs="仿宋_GB2312"/>
          <w:color w:val="000000"/>
          <w:sz w:val="32"/>
          <w:szCs w:val="32"/>
        </w:rPr>
        <w:t>下发</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处罚决定的</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val="0"/>
        <w:kinsoku/>
        <w:wordWrap/>
        <w:overflowPunct/>
        <w:topLinePunct w:val="0"/>
        <w:autoSpaceDE/>
        <w:autoSpaceDN/>
        <w:bidi w:val="0"/>
        <w:adjustRightInd/>
        <w:spacing w:afterLines="0" w:line="540" w:lineRule="exact"/>
        <w:jc w:val="both"/>
        <w:textAlignment w:val="auto"/>
        <w:rPr>
          <w:rFonts w:hint="default"/>
          <w:color w:val="000000"/>
          <w:lang w:val="en-US" w:eastAsia="zh-CN"/>
        </w:rPr>
      </w:pPr>
      <w:r>
        <w:rPr>
          <w:rFonts w:hint="default" w:ascii="仿宋_GB2312" w:hAnsi="仿宋_GB2312" w:eastAsia="仿宋_GB2312" w:cs="仿宋_GB2312"/>
          <w:color w:val="000000"/>
          <w:sz w:val="32"/>
          <w:szCs w:val="32"/>
          <w:lang w:val="en" w:eastAsia="zh-CN"/>
        </w:rPr>
        <w:t xml:space="preserve">    </w:t>
      </w:r>
      <w:r>
        <w:rPr>
          <w:rFonts w:hint="eastAsia" w:ascii="仿宋_GB2312" w:hAnsi="仿宋_GB2312" w:eastAsia="仿宋_GB2312" w:cs="仿宋_GB2312"/>
          <w:color w:val="000000"/>
          <w:sz w:val="32"/>
          <w:szCs w:val="32"/>
          <w:lang w:val="en-US" w:eastAsia="zh-CN"/>
        </w:rPr>
        <w:t>（三）所属货运车辆运输过程中违法装载导致车货总重超过100吨的；</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发生</w:t>
      </w:r>
      <w:r>
        <w:rPr>
          <w:rFonts w:hint="eastAsia" w:ascii="仿宋_GB2312" w:hAnsi="仿宋_GB2312" w:eastAsia="仿宋_GB2312" w:cs="仿宋_GB2312"/>
          <w:color w:val="000000"/>
          <w:kern w:val="2"/>
          <w:sz w:val="32"/>
          <w:szCs w:val="32"/>
          <w:rtl w:val="0"/>
          <w:lang w:val="en-US" w:eastAsia="zh-CN" w:bidi="ar-SA"/>
        </w:rPr>
        <w:t>较大及以上等级的道路交通事故，经认定涉事货运车辆违法超限20%以上的</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）其他严重违反法律法规规定的。</w:t>
      </w:r>
    </w:p>
    <w:p>
      <w:pPr>
        <w:pStyle w:val="8"/>
        <w:keepNext w:val="0"/>
        <w:keepLines w:val="0"/>
        <w:pageBreakBefore w:val="0"/>
        <w:widowControl w:val="0"/>
        <w:kinsoku/>
        <w:wordWrap/>
        <w:overflowPunct/>
        <w:topLinePunct w:val="0"/>
        <w:autoSpaceDE/>
        <w:autoSpaceDN/>
        <w:bidi w:val="0"/>
        <w:adjustRightInd/>
        <w:spacing w:after="0" w:line="540" w:lineRule="exact"/>
        <w:jc w:val="both"/>
        <w:textAlignment w:val="auto"/>
        <w:rPr>
          <w:rFonts w:hint="eastAsia"/>
          <w:color w:val="000000"/>
        </w:rPr>
      </w:pPr>
    </w:p>
    <w:p>
      <w:pPr>
        <w:keepNext w:val="0"/>
        <w:keepLines w:val="0"/>
        <w:pageBreakBefore w:val="0"/>
        <w:widowControl w:val="0"/>
        <w:kinsoku/>
        <w:wordWrap/>
        <w:overflowPunct/>
        <w:topLinePunct w:val="0"/>
        <w:autoSpaceDE/>
        <w:autoSpaceDN/>
        <w:bidi w:val="0"/>
        <w:adjustRightInd/>
        <w:spacing w:afterLines="0" w:line="540" w:lineRule="exact"/>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第三章</w:t>
      </w:r>
      <w:r>
        <w:rPr>
          <w:rFonts w:hint="eastAsia" w:ascii="黑体" w:hAnsi="黑体" w:eastAsia="黑体" w:cs="黑体"/>
          <w:color w:val="000000"/>
          <w:sz w:val="32"/>
          <w:szCs w:val="32"/>
          <w:lang w:val="en-US" w:eastAsia="zh-CN"/>
        </w:rPr>
        <w:t xml:space="preserve">  信用评价程序</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第十一条  </w:t>
      </w:r>
      <w:r>
        <w:rPr>
          <w:rFonts w:hint="eastAsia" w:ascii="仿宋_GB2312" w:hAnsi="仿宋_GB2312" w:eastAsia="仿宋_GB2312" w:cs="仿宋_GB2312"/>
          <w:color w:val="000000"/>
          <w:sz w:val="32"/>
          <w:szCs w:val="32"/>
          <w:lang w:val="en-US" w:eastAsia="zh-CN"/>
        </w:rPr>
        <w:t>信用评价工作</w:t>
      </w:r>
      <w:r>
        <w:rPr>
          <w:rFonts w:hint="eastAsia" w:ascii="仿宋_GB2312" w:hAnsi="仿宋_GB2312" w:eastAsia="仿宋_GB2312" w:cs="仿宋_GB2312"/>
          <w:color w:val="000000"/>
          <w:sz w:val="32"/>
          <w:szCs w:val="32"/>
          <w:lang w:eastAsia="zh-CN"/>
        </w:rPr>
        <w:t>每年进行一次</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评价周期为每年</w:t>
      </w:r>
      <w:r>
        <w:rPr>
          <w:rFonts w:hint="eastAsia" w:ascii="仿宋_GB2312" w:hAnsi="仿宋_GB2312" w:eastAsia="仿宋_GB2312" w:cs="仿宋_GB2312"/>
          <w:color w:val="000000"/>
          <w:sz w:val="32"/>
          <w:szCs w:val="32"/>
          <w:lang w:val="en-US" w:eastAsia="zh-CN"/>
        </w:rPr>
        <w:t>1月1日至12月31日。评价工作应当在评价周期次年的4月30日前完成。</w:t>
      </w:r>
    </w:p>
    <w:p>
      <w:pPr>
        <w:pStyle w:val="5"/>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default"/>
          <w:color w:val="000000"/>
          <w:lang w:val="en-US" w:eastAsia="zh-CN"/>
        </w:rPr>
      </w:pPr>
      <w:r>
        <w:rPr>
          <w:rFonts w:hint="eastAsia" w:ascii="CESI黑体-GB2312" w:hAnsi="CESI黑体-GB2312" w:eastAsia="CESI黑体-GB2312" w:cs="CESI黑体-GB2312"/>
          <w:color w:val="000000"/>
          <w:sz w:val="32"/>
          <w:szCs w:val="32"/>
          <w:lang w:val="en-US" w:eastAsia="zh-CN"/>
        </w:rPr>
        <w:t xml:space="preserve">第十二条  </w:t>
      </w:r>
      <w:r>
        <w:rPr>
          <w:rFonts w:hint="eastAsia" w:ascii="仿宋_GB2312" w:hAnsi="仿宋_GB2312" w:eastAsia="仿宋_GB2312" w:cs="仿宋_GB2312"/>
          <w:color w:val="000000"/>
          <w:sz w:val="32"/>
          <w:szCs w:val="32"/>
          <w:lang w:val="en-US" w:eastAsia="zh-CN"/>
        </w:rPr>
        <w:t>新增企业以及评价工作时经营未满一个评价周期的企业当年</w:t>
      </w:r>
      <w:r>
        <w:rPr>
          <w:rFonts w:hint="eastAsia" w:ascii="仿宋_GB2312" w:hAnsi="仿宋_GB2312" w:eastAsia="仿宋_GB2312" w:cs="仿宋_GB2312"/>
          <w:color w:val="000000"/>
          <w:sz w:val="32"/>
          <w:szCs w:val="32"/>
          <w:lang w:eastAsia="zh-CN"/>
        </w:rPr>
        <w:t>直接评定为初始等次。评价周期内未从事道路货物运输经营的企业，可根据实际</w:t>
      </w:r>
      <w:r>
        <w:rPr>
          <w:rFonts w:hint="eastAsia" w:ascii="仿宋_GB2312" w:hAnsi="仿宋_GB2312" w:eastAsia="仿宋_GB2312" w:cs="仿宋_GB2312"/>
          <w:color w:val="000000"/>
          <w:sz w:val="32"/>
          <w:szCs w:val="32"/>
          <w:lang w:val="en-US" w:eastAsia="zh-CN"/>
        </w:rPr>
        <w:t>情况不将其纳入评价范围。</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第十三条  </w:t>
      </w:r>
      <w:r>
        <w:rPr>
          <w:rFonts w:hint="eastAsia" w:ascii="仿宋_GB2312" w:hAnsi="仿宋_GB2312" w:eastAsia="仿宋_GB2312" w:cs="仿宋_GB2312"/>
          <w:color w:val="000000"/>
          <w:sz w:val="32"/>
          <w:szCs w:val="32"/>
          <w:lang w:val="en-US" w:eastAsia="zh-CN"/>
        </w:rPr>
        <w:t>信用评价工作通过广西道路运输管理信息系统（以下简称</w:t>
      </w:r>
      <w:r>
        <w:rPr>
          <w:rFonts w:hint="eastAsia" w:ascii="仿宋_GB2312" w:hAnsi="仿宋_GB2312" w:eastAsia="仿宋_GB2312" w:cs="仿宋_GB2312"/>
          <w:color w:val="000000"/>
          <w:sz w:val="32"/>
          <w:szCs w:val="32"/>
          <w:shd w:val="clear" w:color="auto" w:fill="auto"/>
          <w:lang w:val="en-US" w:eastAsia="zh-CN"/>
        </w:rPr>
        <w:t>运政</w:t>
      </w:r>
      <w:r>
        <w:rPr>
          <w:rFonts w:hint="eastAsia" w:ascii="仿宋_GB2312" w:hAnsi="仿宋_GB2312" w:eastAsia="仿宋_GB2312" w:cs="仿宋_GB2312"/>
          <w:color w:val="000000"/>
          <w:sz w:val="32"/>
          <w:szCs w:val="32"/>
          <w:lang w:val="en-US" w:eastAsia="zh-CN"/>
        </w:rPr>
        <w:t>系统）开展，按照下列程序进行：</w:t>
      </w:r>
    </w:p>
    <w:p>
      <w:pPr>
        <w:keepNext w:val="0"/>
        <w:keepLines w:val="0"/>
        <w:pageBreakBefore w:val="0"/>
        <w:widowControl w:val="0"/>
        <w:numPr>
          <w:ilvl w:val="0"/>
          <w:numId w:val="2"/>
        </w:numPr>
        <w:kinsoku/>
        <w:wordWrap/>
        <w:overflowPunct/>
        <w:topLinePunct w:val="0"/>
        <w:autoSpaceDE/>
        <w:autoSpaceDN/>
        <w:bidi w:val="0"/>
        <w:adjustRightInd/>
        <w:spacing w:afterLines="0" w:line="540" w:lineRule="exact"/>
        <w:ind w:firstLine="632"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初评。</w:t>
      </w:r>
      <w:r>
        <w:rPr>
          <w:rFonts w:hint="eastAsia" w:ascii="仿宋_GB2312" w:hAnsi="仿宋_GB2312" w:eastAsia="仿宋_GB2312" w:cs="仿宋_GB2312"/>
          <w:color w:val="000000"/>
          <w:sz w:val="32"/>
          <w:szCs w:val="32"/>
          <w:shd w:val="clear" w:color="auto" w:fill="auto"/>
          <w:lang w:val="en-US" w:eastAsia="zh-CN"/>
        </w:rPr>
        <w:t>运政</w:t>
      </w:r>
      <w:r>
        <w:rPr>
          <w:rFonts w:hint="eastAsia" w:ascii="仿宋_GB2312" w:hAnsi="仿宋_GB2312" w:eastAsia="仿宋_GB2312" w:cs="仿宋_GB2312"/>
          <w:color w:val="000000"/>
          <w:sz w:val="32"/>
          <w:szCs w:val="32"/>
          <w:lang w:val="en-US" w:eastAsia="zh-CN"/>
        </w:rPr>
        <w:t>系统通过对接广西交通运输治超联网系统平台、广西交通运输综合执法系统、政务服务等相关系统，自动获取道路货物运输企业计分信息；暂时无法自动获取的，由县级交通运输主管部门负责组织录入。</w:t>
      </w:r>
      <w:r>
        <w:rPr>
          <w:rFonts w:hint="eastAsia" w:ascii="仿宋_GB2312" w:hAnsi="仿宋_GB2312" w:eastAsia="仿宋_GB2312" w:cs="仿宋_GB2312"/>
          <w:color w:val="000000"/>
          <w:sz w:val="32"/>
          <w:szCs w:val="32"/>
          <w:lang w:eastAsia="zh-CN"/>
        </w:rPr>
        <w:t>每年</w:t>
      </w:r>
      <w:r>
        <w:rPr>
          <w:rFonts w:hint="eastAsia" w:ascii="仿宋_GB2312" w:hAnsi="仿宋_GB2312" w:eastAsia="仿宋_GB2312" w:cs="仿宋_GB2312"/>
          <w:color w:val="000000"/>
          <w:sz w:val="32"/>
          <w:szCs w:val="32"/>
          <w:lang w:val="en-US" w:eastAsia="zh-CN"/>
        </w:rPr>
        <w:t>1月15日前，</w:t>
      </w:r>
      <w:r>
        <w:rPr>
          <w:rFonts w:hint="eastAsia" w:ascii="仿宋_GB2312" w:hAnsi="仿宋_GB2312" w:eastAsia="仿宋_GB2312" w:cs="仿宋_GB2312"/>
          <w:color w:val="000000"/>
          <w:sz w:val="32"/>
          <w:szCs w:val="32"/>
          <w:shd w:val="clear" w:color="auto" w:fill="auto"/>
          <w:lang w:val="en-US" w:eastAsia="zh-CN"/>
        </w:rPr>
        <w:t>运政</w:t>
      </w:r>
      <w:r>
        <w:rPr>
          <w:rFonts w:hint="eastAsia" w:ascii="仿宋_GB2312" w:hAnsi="仿宋_GB2312" w:eastAsia="仿宋_GB2312" w:cs="仿宋_GB2312"/>
          <w:color w:val="000000"/>
          <w:sz w:val="32"/>
          <w:szCs w:val="32"/>
          <w:lang w:val="en-US" w:eastAsia="zh-CN"/>
        </w:rPr>
        <w:t>系统自动生成上一年度各地</w:t>
      </w:r>
      <w:r>
        <w:rPr>
          <w:rFonts w:hint="eastAsia" w:ascii="仿宋_GB2312" w:hAnsi="仿宋_GB2312" w:eastAsia="仿宋_GB2312" w:cs="仿宋_GB2312"/>
          <w:color w:val="000000"/>
          <w:sz w:val="32"/>
          <w:szCs w:val="32"/>
          <w:lang w:eastAsia="zh-CN"/>
        </w:rPr>
        <w:t>治超领域</w:t>
      </w: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w:t>
      </w:r>
      <w:r>
        <w:rPr>
          <w:rFonts w:hint="eastAsia" w:ascii="仿宋_GB2312" w:hAnsi="仿宋_GB2312" w:eastAsia="仿宋_GB2312" w:cs="仿宋_GB2312"/>
          <w:color w:val="000000"/>
          <w:sz w:val="32"/>
          <w:szCs w:val="32"/>
          <w:lang w:eastAsia="zh-CN"/>
        </w:rPr>
        <w:t>信用评价等级的初评结果。县级交通运输主管部门根据计分标准和掌握的情况对初评结果进行初核。</w:t>
      </w:r>
    </w:p>
    <w:p>
      <w:pPr>
        <w:keepNext w:val="0"/>
        <w:keepLines w:val="0"/>
        <w:pageBreakBefore w:val="0"/>
        <w:widowControl w:val="0"/>
        <w:numPr>
          <w:ilvl w:val="0"/>
          <w:numId w:val="0"/>
        </w:numPr>
        <w:kinsoku/>
        <w:wordWrap/>
        <w:overflowPunct/>
        <w:topLinePunct w:val="0"/>
        <w:autoSpaceDE/>
        <w:autoSpaceDN/>
        <w:bidi w:val="0"/>
        <w:adjustRightInd/>
        <w:spacing w:afterLines="0" w:line="540" w:lineRule="exact"/>
        <w:ind w:firstLine="632"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道路</w:t>
      </w:r>
      <w:r>
        <w:rPr>
          <w:rFonts w:hint="eastAsia" w:ascii="仿宋_GB2312" w:hAnsi="仿宋_GB2312" w:eastAsia="仿宋_GB2312" w:cs="仿宋_GB2312"/>
          <w:color w:val="000000"/>
          <w:sz w:val="32"/>
          <w:szCs w:val="32"/>
          <w:lang w:eastAsia="zh-CN"/>
        </w:rPr>
        <w:t>货物</w:t>
      </w:r>
      <w:r>
        <w:rPr>
          <w:rFonts w:hint="eastAsia" w:ascii="仿宋_GB2312" w:hAnsi="仿宋_GB2312" w:eastAsia="仿宋_GB2312" w:cs="仿宋_GB2312"/>
          <w:color w:val="000000"/>
          <w:sz w:val="32"/>
          <w:szCs w:val="32"/>
        </w:rPr>
        <w:t>运输企业</w:t>
      </w:r>
      <w:r>
        <w:rPr>
          <w:rFonts w:hint="eastAsia" w:ascii="仿宋_GB2312" w:hAnsi="仿宋_GB2312" w:eastAsia="仿宋_GB2312" w:cs="仿宋_GB2312"/>
          <w:color w:val="000000"/>
          <w:sz w:val="32"/>
          <w:szCs w:val="32"/>
          <w:lang w:eastAsia="zh-CN"/>
        </w:rPr>
        <w:t>所在地为市的，由所在地市级交通运输主管部门进行初评。</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（二）审核。市级交通运输主管部门对辖区内的道路货物运输企业的初评结果进行审核，对初评结果与所掌握企业实际情况存在明显出入的，应当及时核实和更正。</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公示。经审核的初评结果在市级交通运输主管部门网站上进行不少于15个工作日的公示。公示期内，任何单位或者个人对被评价企业初评结果存在异议的，可以实名向企业所在地的市级交通运输主管部门提出书面异议，并提供相关证明材料。交通运输主管部门应在收到书面申请7个工作日内对申请人提出的异议信息进行核实，并将处理结果书面答复申请人。经核实，确需改变拟评定等级的，重新公示5个工作日；不改变的，不再另行公示。</w:t>
      </w:r>
    </w:p>
    <w:p>
      <w:pPr>
        <w:pStyle w:val="5"/>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（四）审定。公示结束后，</w:t>
      </w:r>
      <w:r>
        <w:rPr>
          <w:rFonts w:hint="eastAsia" w:ascii="仿宋_GB2312" w:hAnsi="仿宋_GB2312" w:eastAsia="仿宋_GB2312" w:cs="仿宋_GB2312"/>
          <w:color w:val="000000"/>
          <w:sz w:val="32"/>
          <w:szCs w:val="32"/>
          <w:shd w:val="clear" w:color="auto" w:fill="auto"/>
          <w:lang w:val="en-US" w:eastAsia="zh-CN"/>
        </w:rPr>
        <w:t>运政</w:t>
      </w:r>
      <w:r>
        <w:rPr>
          <w:rFonts w:hint="eastAsia" w:ascii="仿宋_GB2312" w:hAnsi="仿宋_GB2312" w:eastAsia="仿宋_GB2312" w:cs="仿宋_GB2312"/>
          <w:color w:val="000000"/>
          <w:sz w:val="32"/>
          <w:szCs w:val="32"/>
          <w:lang w:val="en-US" w:eastAsia="zh-CN"/>
        </w:rPr>
        <w:t>系统根据修正的数据，自动生成上一年度治超领域全区道路货物运输企业信用评价计分、等级的核定评价结果。自治区道路运输发展中心将核定评价情况及结果报自治区交通运输厅审定。</w:t>
      </w:r>
    </w:p>
    <w:p>
      <w:pPr>
        <w:keepNext w:val="0"/>
        <w:keepLines w:val="0"/>
        <w:pageBreakBefore w:val="0"/>
        <w:widowControl w:val="0"/>
        <w:kinsoku/>
        <w:wordWrap/>
        <w:overflowPunct/>
        <w:topLinePunct w:val="0"/>
        <w:autoSpaceDE/>
        <w:autoSpaceDN/>
        <w:bidi w:val="0"/>
        <w:adjustRightInd/>
        <w:spacing w:afterLines="0" w:line="54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CESI黑体-GB2312" w:hAnsi="CESI黑体-GB2312" w:eastAsia="CESI黑体-GB2312" w:cs="CESI黑体-GB2312"/>
          <w:color w:val="000000"/>
          <w:sz w:val="32"/>
          <w:szCs w:val="32"/>
          <w:lang w:val="en-US" w:eastAsia="zh-CN"/>
        </w:rPr>
        <w:t xml:space="preserve">第十四条  </w:t>
      </w:r>
      <w:r>
        <w:rPr>
          <w:rFonts w:hint="eastAsia" w:ascii="仿宋_GB2312" w:hAnsi="仿宋_GB2312" w:eastAsia="仿宋_GB2312" w:cs="仿宋_GB2312"/>
          <w:color w:val="000000"/>
          <w:sz w:val="32"/>
          <w:szCs w:val="32"/>
          <w:lang w:val="en-US" w:eastAsia="zh-CN"/>
        </w:rPr>
        <w:t>经自治区交通运输厅审定的治超领域道路货物运输企业信用评价结果在自治区交通运输厅网站、“广西运政”微信公众号上公布。</w:t>
      </w:r>
    </w:p>
    <w:p>
      <w:pPr>
        <w:keepNext w:val="0"/>
        <w:keepLines w:val="0"/>
        <w:pageBreakBefore w:val="0"/>
        <w:widowControl w:val="0"/>
        <w:kinsoku/>
        <w:wordWrap/>
        <w:overflowPunct/>
        <w:topLinePunct w:val="0"/>
        <w:autoSpaceDE/>
        <w:autoSpaceDN/>
        <w:bidi w:val="0"/>
        <w:adjustRightInd/>
        <w:spacing w:afterLines="0" w:line="540" w:lineRule="exact"/>
        <w:ind w:firstLine="640"/>
        <w:jc w:val="both"/>
        <w:textAlignment w:val="auto"/>
        <w:rPr>
          <w:rFonts w:hint="default"/>
          <w:color w:val="000000"/>
          <w:lang w:val="en-US" w:eastAsia="zh-CN"/>
        </w:rPr>
      </w:pPr>
      <w:r>
        <w:rPr>
          <w:rFonts w:hint="eastAsia" w:ascii="仿宋_GB2312" w:hAnsi="仿宋_GB2312" w:eastAsia="仿宋_GB2312" w:cs="仿宋_GB2312"/>
          <w:color w:val="000000"/>
          <w:sz w:val="32"/>
          <w:szCs w:val="32"/>
          <w:lang w:val="en-US" w:eastAsia="zh-CN"/>
        </w:rPr>
        <w:t xml:space="preserve">各市、县（市、区）交通运输主管部门应将辖区内治超领域道路货物运输企业评价结果在网站上及时进行公布。    </w:t>
      </w:r>
    </w:p>
    <w:p>
      <w:pPr>
        <w:pStyle w:val="5"/>
        <w:keepNext w:val="0"/>
        <w:keepLines w:val="0"/>
        <w:pageBreakBefore w:val="0"/>
        <w:widowControl w:val="0"/>
        <w:kinsoku/>
        <w:wordWrap/>
        <w:overflowPunct/>
        <w:topLinePunct w:val="0"/>
        <w:autoSpaceDE/>
        <w:autoSpaceDN/>
        <w:bidi w:val="0"/>
        <w:adjustRightInd/>
        <w:spacing w:afterLines="0" w:line="540" w:lineRule="exact"/>
        <w:jc w:val="both"/>
        <w:textAlignment w:val="auto"/>
        <w:rPr>
          <w:rFonts w:hint="default"/>
          <w:color w:val="000000"/>
          <w:lang w:val="en-US" w:eastAsia="zh-CN"/>
        </w:rPr>
      </w:pPr>
    </w:p>
    <w:p>
      <w:pPr>
        <w:keepNext w:val="0"/>
        <w:keepLines w:val="0"/>
        <w:pageBreakBefore w:val="0"/>
        <w:widowControl w:val="0"/>
        <w:kinsoku/>
        <w:wordWrap/>
        <w:overflowPunct/>
        <w:topLinePunct w:val="0"/>
        <w:autoSpaceDE/>
        <w:autoSpaceDN/>
        <w:bidi w:val="0"/>
        <w:adjustRightInd/>
        <w:spacing w:afterLines="0" w:line="54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章  分级</w:t>
      </w:r>
      <w:r>
        <w:rPr>
          <w:rFonts w:hint="eastAsia" w:ascii="黑体" w:hAnsi="黑体" w:eastAsia="黑体" w:cs="黑体"/>
          <w:color w:val="000000"/>
          <w:sz w:val="32"/>
          <w:szCs w:val="32"/>
          <w:lang w:eastAsia="zh-CN"/>
        </w:rPr>
        <w:t>分类</w:t>
      </w:r>
      <w:r>
        <w:rPr>
          <w:rFonts w:hint="eastAsia" w:ascii="黑体" w:hAnsi="黑体" w:eastAsia="黑体" w:cs="黑体"/>
          <w:color w:val="000000"/>
          <w:sz w:val="32"/>
          <w:szCs w:val="32"/>
        </w:rPr>
        <w:t>监管及应用</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shd w:val="clear" w:color="auto" w:fill="auto"/>
          <w:lang w:val="en-US" w:eastAsia="zh-CN"/>
        </w:rPr>
        <w:t>运政</w:t>
      </w:r>
      <w:r>
        <w:rPr>
          <w:rFonts w:hint="eastAsia" w:ascii="仿宋_GB2312" w:hAnsi="仿宋_GB2312" w:eastAsia="仿宋_GB2312" w:cs="仿宋_GB2312"/>
          <w:color w:val="000000"/>
          <w:sz w:val="32"/>
          <w:szCs w:val="32"/>
          <w:lang w:val="en-US" w:eastAsia="zh-CN"/>
        </w:rPr>
        <w:t>系统</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信用评价等级，对道路货物运输企业进行记牌：</w:t>
      </w:r>
    </w:p>
    <w:p>
      <w:pPr>
        <w:keepNext w:val="0"/>
        <w:keepLines w:val="0"/>
        <w:pageBreakBefore w:val="0"/>
        <w:widowControl w:val="0"/>
        <w:numPr>
          <w:ilvl w:val="0"/>
          <w:numId w:val="3"/>
        </w:numPr>
        <w:kinsoku/>
        <w:wordWrap/>
        <w:overflowPunct/>
        <w:topLinePunct w:val="0"/>
        <w:autoSpaceDE/>
        <w:autoSpaceDN/>
        <w:bidi w:val="0"/>
        <w:adjustRightInd/>
        <w:spacing w:afterLines="0" w:line="540" w:lineRule="exact"/>
        <w:ind w:left="1592" w:leftChars="304" w:hanging="632" w:hanging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评定为</w:t>
      </w:r>
      <w:r>
        <w:rPr>
          <w:rFonts w:hint="eastAsia" w:ascii="仿宋_GB2312" w:hAnsi="仿宋_GB2312" w:eastAsia="仿宋_GB2312" w:cs="仿宋_GB2312"/>
          <w:color w:val="000000"/>
          <w:sz w:val="32"/>
          <w:szCs w:val="32"/>
          <w:lang w:val="en-US" w:eastAsia="zh-CN"/>
        </w:rPr>
        <w:t>AA、A、B等级的，记“绿牌”</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pacing w:afterLines="0" w:line="540" w:lineRule="exact"/>
        <w:ind w:left="1592" w:leftChars="304" w:hanging="632" w:hanging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评定为</w:t>
      </w:r>
      <w:r>
        <w:rPr>
          <w:rFonts w:hint="eastAsia" w:ascii="仿宋_GB2312" w:hAnsi="仿宋_GB2312" w:eastAsia="仿宋_GB2312" w:cs="仿宋_GB2312"/>
          <w:color w:val="000000"/>
          <w:sz w:val="32"/>
          <w:szCs w:val="32"/>
          <w:lang w:val="en-US" w:eastAsia="zh-CN"/>
        </w:rPr>
        <w:t>C等级的，记“黄牌”</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pacing w:afterLines="0" w:line="540" w:lineRule="exact"/>
        <w:ind w:left="1592" w:leftChars="304" w:hanging="632" w:hanging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评定为</w:t>
      </w:r>
      <w:r>
        <w:rPr>
          <w:rFonts w:hint="eastAsia" w:ascii="仿宋_GB2312" w:hAnsi="仿宋_GB2312" w:eastAsia="仿宋_GB2312" w:cs="仿宋_GB2312"/>
          <w:color w:val="000000"/>
          <w:sz w:val="32"/>
          <w:szCs w:val="32"/>
          <w:lang w:val="en-US" w:eastAsia="zh-CN"/>
        </w:rPr>
        <w:t>D等级的，记“红牌”</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交通运输主管部门根据记牌结果，对</w:t>
      </w:r>
      <w:r>
        <w:rPr>
          <w:rFonts w:hint="eastAsia" w:ascii="仿宋_GB2312" w:hAnsi="仿宋_GB2312" w:eastAsia="仿宋_GB2312" w:cs="仿宋_GB2312"/>
          <w:color w:val="000000"/>
          <w:sz w:val="32"/>
          <w:szCs w:val="32"/>
          <w:lang w:val="en-US" w:eastAsia="zh-CN"/>
        </w:rPr>
        <w:t>道路货物运输企业</w:t>
      </w:r>
      <w:r>
        <w:rPr>
          <w:rFonts w:hint="eastAsia" w:ascii="仿宋_GB2312" w:hAnsi="仿宋_GB2312" w:eastAsia="仿宋_GB2312" w:cs="仿宋_GB2312"/>
          <w:color w:val="000000"/>
          <w:sz w:val="32"/>
          <w:szCs w:val="32"/>
        </w:rPr>
        <w:t>实施差异化监管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w:t>
      </w:r>
      <w:r>
        <w:rPr>
          <w:rFonts w:hint="eastAsia" w:ascii="仿宋_GB2312" w:hAnsi="仿宋_GB2312" w:eastAsia="仿宋_GB2312" w:cs="仿宋_GB2312"/>
          <w:color w:val="000000"/>
          <w:sz w:val="32"/>
          <w:szCs w:val="32"/>
          <w:lang w:val="en-US" w:eastAsia="zh-CN"/>
        </w:rPr>
        <w:t>记“绿牌”</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en-US" w:eastAsia="zh-CN"/>
        </w:rPr>
        <w:t>道路货物运输企业</w:t>
      </w:r>
      <w:r>
        <w:rPr>
          <w:rFonts w:hint="eastAsia" w:ascii="仿宋_GB2312" w:hAnsi="仿宋_GB2312" w:eastAsia="仿宋_GB2312" w:cs="仿宋_GB2312"/>
          <w:color w:val="000000"/>
          <w:sz w:val="32"/>
          <w:szCs w:val="32"/>
        </w:rPr>
        <w:t>，以自律为主、守信激励为原则，采取以下激励措施：</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除有投诉举报外，</w:t>
      </w:r>
      <w:r>
        <w:rPr>
          <w:rFonts w:hint="eastAsia" w:ascii="仿宋_GB2312" w:hAnsi="仿宋_GB2312" w:eastAsia="仿宋_GB2312" w:cs="仿宋_GB2312"/>
          <w:color w:val="000000"/>
          <w:sz w:val="32"/>
          <w:szCs w:val="32"/>
          <w:lang w:val="en-US" w:eastAsia="zh-CN"/>
        </w:rPr>
        <w:t>每年治超执法检查不超过1次；</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鼓励货物装载源头单位优先选定其为货物承运单位；</w:t>
      </w:r>
    </w:p>
    <w:p>
      <w:pPr>
        <w:pStyle w:val="5"/>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3.在办理道路运输证申请、车辆年度审验等政务服务事项过程中，给予容缺受理、告知承诺、简化办理、优先办理等便利服务；在办理超限运输许可过程中，给予优先办理等便利服务；</w:t>
      </w:r>
    </w:p>
    <w:p>
      <w:pPr>
        <w:keepNext w:val="0"/>
        <w:keepLines w:val="0"/>
        <w:pageBreakBefore w:val="0"/>
        <w:widowControl w:val="0"/>
        <w:kinsoku/>
        <w:wordWrap/>
        <w:overflowPunct/>
        <w:topLinePunct w:val="0"/>
        <w:autoSpaceDE/>
        <w:autoSpaceDN/>
        <w:bidi w:val="0"/>
        <w:adjustRightInd/>
        <w:spacing w:afterLines="0" w:line="540" w:lineRule="exact"/>
        <w:jc w:val="both"/>
        <w:textAlignment w:val="auto"/>
        <w:rPr>
          <w:rFonts w:hint="default"/>
          <w:color w:val="000000"/>
          <w:lang w:val="en-US" w:eastAsia="zh-CN"/>
        </w:rPr>
      </w:pPr>
      <w:r>
        <w:rPr>
          <w:rFonts w:hint="eastAsia" w:ascii="仿宋_GB2312" w:hAnsi="仿宋_GB2312" w:eastAsia="仿宋_GB2312" w:cs="仿宋_GB2312"/>
          <w:color w:val="000000"/>
          <w:kern w:val="2"/>
          <w:sz w:val="32"/>
          <w:szCs w:val="32"/>
          <w:lang w:val="en-US" w:eastAsia="zh-CN" w:bidi="ar-SA"/>
        </w:rPr>
        <w:t xml:space="preserve">    4.可预约交通运输主管部门上门提供指导培训；</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.国家或</w:t>
      </w:r>
      <w:r>
        <w:rPr>
          <w:rFonts w:hint="eastAsia" w:ascii="仿宋_GB2312" w:hAnsi="仿宋_GB2312" w:eastAsia="仿宋_GB2312" w:cs="仿宋_GB2312"/>
          <w:color w:val="000000"/>
          <w:sz w:val="32"/>
          <w:szCs w:val="32"/>
          <w:lang w:eastAsia="zh-CN"/>
        </w:rPr>
        <w:t>自治区</w:t>
      </w:r>
      <w:r>
        <w:rPr>
          <w:rFonts w:hint="eastAsia" w:ascii="仿宋_GB2312" w:hAnsi="仿宋_GB2312" w:eastAsia="仿宋_GB2312" w:cs="仿宋_GB2312"/>
          <w:color w:val="000000"/>
          <w:sz w:val="32"/>
          <w:szCs w:val="32"/>
        </w:rPr>
        <w:t>规定的其他激励措施。</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记“黄牌”</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en-US" w:eastAsia="zh-CN"/>
        </w:rPr>
        <w:t>道路货物运输企业</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eastAsia="zh-CN"/>
        </w:rPr>
        <w:t>监督督促、行业</w:t>
      </w:r>
      <w:r>
        <w:rPr>
          <w:rFonts w:hint="eastAsia" w:ascii="仿宋_GB2312" w:hAnsi="仿宋_GB2312" w:eastAsia="仿宋_GB2312" w:cs="仿宋_GB2312"/>
          <w:color w:val="000000"/>
          <w:sz w:val="32"/>
          <w:szCs w:val="32"/>
        </w:rPr>
        <w:t>自律为原则，采取以下</w:t>
      </w:r>
      <w:r>
        <w:rPr>
          <w:rFonts w:hint="eastAsia" w:ascii="仿宋_GB2312" w:hAnsi="仿宋_GB2312" w:eastAsia="仿宋_GB2312" w:cs="仿宋_GB2312"/>
          <w:color w:val="000000"/>
          <w:sz w:val="32"/>
          <w:szCs w:val="32"/>
          <w:lang w:eastAsia="zh-CN"/>
        </w:rPr>
        <w:t>监管</w:t>
      </w:r>
      <w:r>
        <w:rPr>
          <w:rFonts w:hint="eastAsia" w:ascii="仿宋_GB2312" w:hAnsi="仿宋_GB2312" w:eastAsia="仿宋_GB2312" w:cs="仿宋_GB2312"/>
          <w:color w:val="000000"/>
          <w:sz w:val="32"/>
          <w:szCs w:val="32"/>
        </w:rPr>
        <w:t>措施：</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1.在日常监管中</w:t>
      </w:r>
      <w:r>
        <w:rPr>
          <w:rFonts w:hint="eastAsia" w:ascii="仿宋_GB2312" w:hAnsi="仿宋_GB2312" w:eastAsia="仿宋_GB2312" w:cs="仿宋_GB2312"/>
          <w:color w:val="000000"/>
          <w:sz w:val="32"/>
          <w:szCs w:val="32"/>
          <w:lang w:eastAsia="zh-CN"/>
        </w:rPr>
        <w:t>按照常规比例、</w:t>
      </w:r>
      <w:r>
        <w:rPr>
          <w:rFonts w:hint="eastAsia" w:ascii="仿宋_GB2312" w:hAnsi="仿宋_GB2312" w:eastAsia="仿宋_GB2312" w:cs="仿宋_GB2312"/>
          <w:color w:val="000000"/>
          <w:sz w:val="32"/>
          <w:szCs w:val="32"/>
        </w:rPr>
        <w:t>频次和内容</w:t>
      </w:r>
      <w:r>
        <w:rPr>
          <w:rFonts w:hint="eastAsia" w:ascii="仿宋_GB2312" w:hAnsi="仿宋_GB2312" w:eastAsia="仿宋_GB2312" w:cs="仿宋_GB2312"/>
          <w:color w:val="000000"/>
          <w:sz w:val="32"/>
          <w:szCs w:val="32"/>
          <w:lang w:eastAsia="zh-CN"/>
        </w:rPr>
        <w:t>，定期或不定期开展治超执法检查；</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2.对</w:t>
      </w:r>
      <w:r>
        <w:rPr>
          <w:rFonts w:hint="eastAsia" w:ascii="仿宋_GB2312" w:hAnsi="仿宋_GB2312" w:eastAsia="仿宋_GB2312" w:cs="仿宋_GB2312"/>
          <w:color w:val="000000"/>
          <w:sz w:val="32"/>
          <w:szCs w:val="32"/>
          <w:lang w:eastAsia="zh-CN"/>
        </w:rPr>
        <w:t>企业</w:t>
      </w:r>
      <w:r>
        <w:rPr>
          <w:rFonts w:hint="eastAsia" w:ascii="仿宋_GB2312" w:hAnsi="仿宋_GB2312" w:eastAsia="仿宋_GB2312" w:cs="仿宋_GB2312"/>
          <w:color w:val="000000"/>
          <w:sz w:val="32"/>
          <w:szCs w:val="32"/>
        </w:rPr>
        <w:t>负责人进行警示约谈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推动企业落实安全生产主体责任；</w:t>
      </w:r>
    </w:p>
    <w:p>
      <w:pPr>
        <w:pStyle w:val="5"/>
        <w:keepNext w:val="0"/>
        <w:keepLines w:val="0"/>
        <w:pageBreakBefore w:val="0"/>
        <w:widowControl w:val="0"/>
        <w:kinsoku/>
        <w:wordWrap/>
        <w:overflowPunct/>
        <w:topLinePunct w:val="0"/>
        <w:autoSpaceDE/>
        <w:autoSpaceDN/>
        <w:bidi w:val="0"/>
        <w:adjustRightInd/>
        <w:spacing w:afterLines="0" w:line="540" w:lineRule="exact"/>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3.法律、法规、规章等规定的其他措施。</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记“红牌”</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en-US" w:eastAsia="zh-CN"/>
        </w:rPr>
        <w:t>道路货物运输企业</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eastAsia="zh-CN"/>
        </w:rPr>
        <w:t>强化监管、失信惩戒</w:t>
      </w:r>
      <w:r>
        <w:rPr>
          <w:rFonts w:hint="eastAsia" w:ascii="仿宋_GB2312" w:hAnsi="仿宋_GB2312" w:eastAsia="仿宋_GB2312" w:cs="仿宋_GB2312"/>
          <w:color w:val="000000"/>
          <w:sz w:val="32"/>
          <w:szCs w:val="32"/>
        </w:rPr>
        <w:t>为原则，采取以下</w:t>
      </w:r>
      <w:r>
        <w:rPr>
          <w:rFonts w:hint="eastAsia" w:ascii="仿宋_GB2312" w:hAnsi="仿宋_GB2312" w:eastAsia="仿宋_GB2312" w:cs="仿宋_GB2312"/>
          <w:color w:val="000000"/>
          <w:sz w:val="32"/>
          <w:szCs w:val="32"/>
          <w:lang w:eastAsia="zh-CN"/>
        </w:rPr>
        <w:t>约束</w:t>
      </w:r>
      <w:r>
        <w:rPr>
          <w:rFonts w:hint="eastAsia" w:ascii="仿宋_GB2312" w:hAnsi="仿宋_GB2312" w:eastAsia="仿宋_GB2312" w:cs="仿宋_GB2312"/>
          <w:color w:val="000000"/>
          <w:sz w:val="32"/>
          <w:szCs w:val="32"/>
        </w:rPr>
        <w:t>措施：</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1.在日常监管中</w:t>
      </w:r>
      <w:r>
        <w:rPr>
          <w:rFonts w:hint="eastAsia" w:ascii="仿宋_GB2312" w:hAnsi="仿宋_GB2312" w:eastAsia="仿宋_GB2312" w:cs="仿宋_GB2312"/>
          <w:color w:val="000000"/>
          <w:sz w:val="32"/>
          <w:szCs w:val="32"/>
          <w:lang w:eastAsia="zh-CN"/>
        </w:rPr>
        <w:t>列为重点监管对象，增加监管</w:t>
      </w:r>
      <w:r>
        <w:rPr>
          <w:rFonts w:hint="eastAsia" w:ascii="仿宋_GB2312" w:hAnsi="仿宋_GB2312" w:eastAsia="仿宋_GB2312" w:cs="仿宋_GB2312"/>
          <w:color w:val="000000"/>
          <w:sz w:val="32"/>
          <w:szCs w:val="32"/>
        </w:rPr>
        <w:t>频次</w:t>
      </w:r>
      <w:r>
        <w:rPr>
          <w:rFonts w:hint="eastAsia" w:ascii="仿宋_GB2312" w:hAnsi="仿宋_GB2312" w:eastAsia="仿宋_GB2312" w:cs="仿宋_GB2312"/>
          <w:color w:val="000000"/>
          <w:sz w:val="32"/>
          <w:szCs w:val="32"/>
          <w:lang w:eastAsia="zh-CN"/>
        </w:rPr>
        <w:t>，加强现场检查；</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按规定对严重失信行为进行惩戒；</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eastAsia="zh-CN"/>
        </w:rPr>
        <w:t>企业</w:t>
      </w:r>
      <w:r>
        <w:rPr>
          <w:rFonts w:hint="eastAsia" w:ascii="仿宋_GB2312" w:hAnsi="仿宋_GB2312" w:eastAsia="仿宋_GB2312" w:cs="仿宋_GB2312"/>
          <w:color w:val="000000"/>
          <w:sz w:val="32"/>
          <w:szCs w:val="32"/>
        </w:rPr>
        <w:t>负责人进行警示约谈</w:t>
      </w:r>
      <w:r>
        <w:rPr>
          <w:rFonts w:hint="eastAsia" w:ascii="仿宋_GB2312" w:hAnsi="仿宋_GB2312" w:eastAsia="仿宋_GB2312" w:cs="仿宋_GB2312"/>
          <w:color w:val="000000"/>
          <w:sz w:val="32"/>
          <w:szCs w:val="32"/>
          <w:lang w:eastAsia="zh-CN"/>
        </w:rPr>
        <w:t>，督促限期整改</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在行政审批过程中依法依规审慎审批；</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5.情节严重符合有关规定的，</w:t>
      </w:r>
      <w:r>
        <w:rPr>
          <w:rFonts w:hint="eastAsia" w:ascii="仿宋_GB2312" w:hAnsi="微软雅黑" w:eastAsia="仿宋_GB2312" w:cs="宋体"/>
          <w:color w:val="000000"/>
          <w:kern w:val="0"/>
          <w:sz w:val="32"/>
          <w:szCs w:val="32"/>
        </w:rPr>
        <w:t>吊销经营许可或者收缴道路运输证</w:t>
      </w:r>
      <w:r>
        <w:rPr>
          <w:rFonts w:hint="eastAsia" w:ascii="仿宋_GB2312" w:hAnsi="仿宋_GB2312" w:eastAsia="仿宋_GB2312" w:cs="仿宋_GB2312"/>
          <w:color w:val="000000"/>
          <w:sz w:val="32"/>
          <w:szCs w:val="32"/>
          <w:lang w:val="en-US" w:eastAsia="zh-CN"/>
        </w:rPr>
        <w:t>；</w:t>
      </w:r>
    </w:p>
    <w:p>
      <w:pPr>
        <w:pStyle w:val="5"/>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6.法律、法规、规章等规定的其他措施。</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十七</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各市、县（市、区）交通运输主管部门</w:t>
      </w:r>
      <w:r>
        <w:rPr>
          <w:rFonts w:hint="eastAsia" w:ascii="仿宋_GB2312" w:hAnsi="仿宋_GB2312" w:eastAsia="仿宋_GB2312" w:cs="仿宋_GB2312"/>
          <w:color w:val="000000"/>
          <w:sz w:val="32"/>
          <w:szCs w:val="32"/>
        </w:rPr>
        <w:t>应当将分级</w:t>
      </w:r>
      <w:r>
        <w:rPr>
          <w:rFonts w:hint="eastAsia" w:ascii="仿宋_GB2312" w:hAnsi="仿宋_GB2312" w:eastAsia="仿宋_GB2312" w:cs="仿宋_GB2312"/>
          <w:color w:val="000000"/>
          <w:sz w:val="32"/>
          <w:szCs w:val="32"/>
          <w:lang w:eastAsia="zh-CN"/>
        </w:rPr>
        <w:t>分类</w:t>
      </w:r>
      <w:r>
        <w:rPr>
          <w:rFonts w:hint="eastAsia" w:ascii="仿宋_GB2312" w:hAnsi="仿宋_GB2312" w:eastAsia="仿宋_GB2312" w:cs="仿宋_GB2312"/>
          <w:color w:val="000000"/>
          <w:sz w:val="32"/>
          <w:szCs w:val="32"/>
        </w:rPr>
        <w:t>监管及应用作为重要内容嵌入监督检查、行政审批等流程。依据信用评价</w:t>
      </w:r>
      <w:r>
        <w:rPr>
          <w:rFonts w:hint="eastAsia" w:ascii="仿宋_GB2312" w:hAnsi="仿宋_GB2312" w:eastAsia="仿宋_GB2312" w:cs="仿宋_GB2312"/>
          <w:color w:val="000000"/>
          <w:sz w:val="32"/>
          <w:szCs w:val="32"/>
          <w:lang w:eastAsia="zh-CN"/>
        </w:rPr>
        <w:t>及记牌</w:t>
      </w:r>
      <w:r>
        <w:rPr>
          <w:rFonts w:hint="eastAsia" w:ascii="仿宋_GB2312" w:hAnsi="仿宋_GB2312" w:eastAsia="仿宋_GB2312" w:cs="仿宋_GB2312"/>
          <w:color w:val="000000"/>
          <w:sz w:val="32"/>
          <w:szCs w:val="32"/>
        </w:rPr>
        <w:t>结果制定相应的监管检查计划，组织开展分级</w:t>
      </w:r>
      <w:r>
        <w:rPr>
          <w:rFonts w:hint="eastAsia" w:ascii="仿宋_GB2312" w:hAnsi="仿宋_GB2312" w:eastAsia="仿宋_GB2312" w:cs="仿宋_GB2312"/>
          <w:color w:val="000000"/>
          <w:sz w:val="32"/>
          <w:szCs w:val="32"/>
          <w:lang w:eastAsia="zh-CN"/>
        </w:rPr>
        <w:t>分类</w:t>
      </w:r>
      <w:r>
        <w:rPr>
          <w:rFonts w:hint="eastAsia" w:ascii="仿宋_GB2312" w:hAnsi="仿宋_GB2312" w:eastAsia="仿宋_GB2312" w:cs="仿宋_GB2312"/>
          <w:color w:val="000000"/>
          <w:sz w:val="32"/>
          <w:szCs w:val="32"/>
        </w:rPr>
        <w:t>监管及应用实施。</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color w:val="000000"/>
          <w:lang w:val="en-US" w:eastAsia="zh-CN"/>
        </w:rPr>
      </w:pPr>
    </w:p>
    <w:p>
      <w:pPr>
        <w:keepNext w:val="0"/>
        <w:keepLines w:val="0"/>
        <w:pageBreakBefore w:val="0"/>
        <w:widowControl w:val="0"/>
        <w:kinsoku/>
        <w:wordWrap/>
        <w:overflowPunct/>
        <w:topLinePunct w:val="0"/>
        <w:autoSpaceDE/>
        <w:autoSpaceDN/>
        <w:bidi w:val="0"/>
        <w:adjustRightInd/>
        <w:spacing w:afterLines="0" w:line="54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章 信用评价信息</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黑体" w:hAnsi="黑体" w:eastAsia="黑体"/>
          <w:color w:val="000000"/>
          <w:kern w:val="44"/>
          <w:sz w:val="32"/>
          <w:szCs w:val="32"/>
        </w:rPr>
      </w:pP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olor w:val="000000"/>
          <w:kern w:val="44"/>
          <w:sz w:val="32"/>
          <w:szCs w:val="32"/>
        </w:rPr>
        <w:t>第</w:t>
      </w:r>
      <w:r>
        <w:rPr>
          <w:rFonts w:hint="eastAsia" w:ascii="黑体" w:hAnsi="黑体" w:eastAsia="黑体"/>
          <w:color w:val="000000"/>
          <w:kern w:val="44"/>
          <w:sz w:val="32"/>
          <w:szCs w:val="32"/>
          <w:lang w:eastAsia="zh-CN"/>
        </w:rPr>
        <w:t>十</w:t>
      </w:r>
      <w:r>
        <w:rPr>
          <w:rFonts w:hint="eastAsia" w:ascii="黑体" w:hAnsi="黑体" w:eastAsia="黑体"/>
          <w:color w:val="000000"/>
          <w:kern w:val="44"/>
          <w:sz w:val="32"/>
          <w:szCs w:val="32"/>
          <w:lang w:val="en-US" w:eastAsia="zh-CN"/>
        </w:rPr>
        <w:t>八</w:t>
      </w:r>
      <w:r>
        <w:rPr>
          <w:rFonts w:hint="eastAsia" w:ascii="黑体" w:hAnsi="黑体" w:eastAsia="黑体"/>
          <w:color w:val="000000"/>
          <w:kern w:val="44"/>
          <w:sz w:val="32"/>
          <w:szCs w:val="32"/>
        </w:rPr>
        <w:t>条</w:t>
      </w:r>
      <w:r>
        <w:rPr>
          <w:rFonts w:hint="eastAsia" w:ascii="黑体" w:hAnsi="黑体" w:eastAsia="黑体"/>
          <w:color w:val="000000"/>
          <w:kern w:val="44"/>
          <w:sz w:val="32"/>
          <w:szCs w:val="32"/>
          <w:lang w:val="en-US" w:eastAsia="zh-CN"/>
        </w:rPr>
        <w:t xml:space="preserve"> </w:t>
      </w:r>
      <w:r>
        <w:rPr>
          <w:rFonts w:hint="eastAsia" w:ascii="仿宋_GB2312" w:hAnsi="仿宋_GB2312" w:eastAsia="仿宋_GB2312" w:cs="仿宋_GB2312"/>
          <w:color w:val="000000"/>
          <w:kern w:val="0"/>
          <w:sz w:val="32"/>
          <w:szCs w:val="32"/>
        </w:rPr>
        <w:t>各市、县（市、区）</w:t>
      </w:r>
      <w:r>
        <w:rPr>
          <w:rFonts w:hint="default" w:ascii="仿宋_GB2312" w:hAnsi="仿宋_GB2312" w:eastAsia="仿宋_GB2312" w:cs="仿宋_GB2312"/>
          <w:color w:val="000000"/>
          <w:kern w:val="0"/>
          <w:sz w:val="32"/>
          <w:szCs w:val="32"/>
          <w:lang w:val="en-US"/>
        </w:rPr>
        <w:t>交通运输</w:t>
      </w:r>
      <w:r>
        <w:rPr>
          <w:rFonts w:hint="eastAsia" w:ascii="仿宋_GB2312" w:hAnsi="仿宋_GB2312" w:eastAsia="仿宋_GB2312" w:cs="仿宋_GB2312"/>
          <w:color w:val="000000"/>
          <w:kern w:val="0"/>
          <w:sz w:val="32"/>
          <w:szCs w:val="32"/>
          <w:lang w:val="en-US" w:eastAsia="zh-CN"/>
        </w:rPr>
        <w:t>主管</w:t>
      </w:r>
      <w:r>
        <w:rPr>
          <w:rFonts w:hint="default" w:ascii="仿宋_GB2312" w:hAnsi="仿宋_GB2312" w:eastAsia="仿宋_GB2312" w:cs="仿宋_GB2312"/>
          <w:color w:val="000000"/>
          <w:kern w:val="0"/>
          <w:sz w:val="32"/>
          <w:szCs w:val="32"/>
          <w:lang w:val="en-US"/>
        </w:rPr>
        <w:t>部门应当依托</w:t>
      </w:r>
      <w:r>
        <w:rPr>
          <w:rFonts w:hint="eastAsia" w:ascii="仿宋_GB2312" w:hAnsi="仿宋_GB2312" w:eastAsia="仿宋_GB2312" w:cs="仿宋_GB2312"/>
          <w:color w:val="000000"/>
          <w:sz w:val="32"/>
          <w:szCs w:val="32"/>
          <w:shd w:val="clear" w:color="auto" w:fill="auto"/>
          <w:lang w:val="en-US" w:eastAsia="zh-CN"/>
        </w:rPr>
        <w:t>运政</w:t>
      </w:r>
      <w:r>
        <w:rPr>
          <w:rFonts w:hint="eastAsia" w:ascii="仿宋_GB2312" w:hAnsi="仿宋_GB2312" w:eastAsia="仿宋_GB2312" w:cs="仿宋_GB2312"/>
          <w:color w:val="000000"/>
          <w:sz w:val="32"/>
          <w:szCs w:val="32"/>
          <w:lang w:val="en-US" w:eastAsia="zh-CN"/>
        </w:rPr>
        <w:t>系统</w:t>
      </w:r>
      <w:r>
        <w:rPr>
          <w:rFonts w:hint="default" w:ascii="仿宋_GB2312" w:hAnsi="仿宋_GB2312" w:eastAsia="仿宋_GB2312" w:cs="仿宋_GB2312"/>
          <w:color w:val="000000"/>
          <w:kern w:val="0"/>
          <w:sz w:val="32"/>
          <w:szCs w:val="32"/>
          <w:lang w:val="en-US"/>
        </w:rPr>
        <w:t>建立完善</w:t>
      </w:r>
      <w:r>
        <w:rPr>
          <w:rFonts w:hint="eastAsia" w:ascii="仿宋_GB2312" w:hAnsi="仿宋_GB2312" w:eastAsia="仿宋_GB2312" w:cs="仿宋_GB2312"/>
          <w:color w:val="000000"/>
          <w:kern w:val="0"/>
          <w:sz w:val="32"/>
          <w:szCs w:val="32"/>
          <w:lang w:val="en-US" w:eastAsia="zh-CN"/>
        </w:rPr>
        <w:t>并动态更新道路货物运输企业</w:t>
      </w:r>
      <w:r>
        <w:rPr>
          <w:rFonts w:hint="default" w:ascii="仿宋_GB2312" w:hAnsi="仿宋_GB2312" w:eastAsia="仿宋_GB2312" w:cs="仿宋_GB2312"/>
          <w:color w:val="000000"/>
          <w:kern w:val="0"/>
          <w:sz w:val="32"/>
          <w:szCs w:val="32"/>
          <w:lang w:val="en-US"/>
        </w:rPr>
        <w:t>数据库。</w:t>
      </w:r>
      <w:r>
        <w:rPr>
          <w:rFonts w:hint="eastAsia" w:ascii="仿宋_GB2312" w:hAnsi="仿宋_GB2312" w:eastAsia="仿宋_GB2312" w:cs="仿宋_GB2312"/>
          <w:color w:val="000000"/>
          <w:sz w:val="32"/>
          <w:szCs w:val="32"/>
        </w:rPr>
        <w:t>信用数据归集遵循“系统对接为主、人工录入为辅”的原则。信用数据优先通过</w:t>
      </w:r>
      <w:r>
        <w:rPr>
          <w:rFonts w:hint="eastAsia" w:ascii="仿宋_GB2312" w:hAnsi="仿宋_GB2312" w:eastAsia="仿宋_GB2312" w:cs="仿宋_GB2312"/>
          <w:color w:val="000000"/>
          <w:sz w:val="32"/>
          <w:szCs w:val="32"/>
          <w:lang w:eastAsia="zh-CN"/>
        </w:rPr>
        <w:t>广西交通运输治超联网系统平台、广西交通运输综合执法系统、</w:t>
      </w:r>
      <w:r>
        <w:rPr>
          <w:rFonts w:hint="eastAsia" w:ascii="仿宋_GB2312" w:hAnsi="仿宋_GB2312" w:eastAsia="仿宋_GB2312" w:cs="仿宋_GB2312"/>
          <w:color w:val="000000"/>
          <w:sz w:val="32"/>
          <w:szCs w:val="32"/>
        </w:rPr>
        <w:t>政务服务等相关系统自动采集和归集；暂不能实现自动采集和归集的，应当按照“谁</w:t>
      </w:r>
      <w:r>
        <w:rPr>
          <w:rFonts w:hint="eastAsia" w:ascii="仿宋_GB2312" w:hAnsi="仿宋_GB2312" w:eastAsia="仿宋_GB2312" w:cs="仿宋_GB2312"/>
          <w:color w:val="000000"/>
          <w:sz w:val="32"/>
          <w:szCs w:val="32"/>
          <w:lang w:eastAsia="zh-CN"/>
        </w:rPr>
        <w:t>掌握、谁提供、</w:t>
      </w:r>
      <w:r>
        <w:rPr>
          <w:rFonts w:hint="eastAsia" w:ascii="仿宋_GB2312" w:hAnsi="仿宋_GB2312" w:eastAsia="仿宋_GB2312" w:cs="仿宋_GB2312"/>
          <w:color w:val="000000"/>
          <w:sz w:val="32"/>
          <w:szCs w:val="32"/>
        </w:rPr>
        <w:t>谁负责”的原则，</w:t>
      </w:r>
      <w:r>
        <w:rPr>
          <w:rFonts w:hint="eastAsia" w:ascii="仿宋_GB2312" w:hAnsi="仿宋_GB2312" w:eastAsia="仿宋_GB2312" w:cs="仿宋_GB2312"/>
          <w:color w:val="000000"/>
          <w:sz w:val="32"/>
          <w:szCs w:val="32"/>
          <w:lang w:eastAsia="zh-CN"/>
        </w:rPr>
        <w:t>及时在</w:t>
      </w:r>
      <w:r>
        <w:rPr>
          <w:rFonts w:hint="eastAsia" w:ascii="仿宋_GB2312" w:hAnsi="仿宋_GB2312" w:eastAsia="仿宋_GB2312" w:cs="仿宋_GB2312"/>
          <w:color w:val="000000"/>
          <w:sz w:val="32"/>
          <w:szCs w:val="32"/>
          <w:shd w:val="clear" w:color="auto" w:fill="auto"/>
          <w:lang w:val="en-US" w:eastAsia="zh-CN"/>
        </w:rPr>
        <w:t>运政</w:t>
      </w:r>
      <w:r>
        <w:rPr>
          <w:rFonts w:hint="eastAsia" w:ascii="仿宋_GB2312" w:hAnsi="仿宋_GB2312" w:eastAsia="仿宋_GB2312" w:cs="仿宋_GB2312"/>
          <w:color w:val="000000"/>
          <w:sz w:val="32"/>
          <w:szCs w:val="32"/>
          <w:lang w:val="en-US" w:eastAsia="zh-CN"/>
        </w:rPr>
        <w:t>系统</w:t>
      </w:r>
      <w:r>
        <w:rPr>
          <w:rFonts w:hint="eastAsia" w:ascii="仿宋_GB2312" w:hAnsi="仿宋_GB2312" w:eastAsia="仿宋_GB2312" w:cs="仿宋_GB2312"/>
          <w:color w:val="000000"/>
          <w:sz w:val="32"/>
          <w:szCs w:val="32"/>
          <w:lang w:eastAsia="zh-CN"/>
        </w:rPr>
        <w:t>录入，对外地车辆，应及时抄告车籍地的交通运输主管部门</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（一）时间要求：通过</w:t>
      </w:r>
      <w:r>
        <w:rPr>
          <w:rFonts w:hint="eastAsia" w:ascii="仿宋_GB2312" w:hAnsi="仿宋_GB2312" w:eastAsia="仿宋_GB2312" w:cs="仿宋_GB2312"/>
          <w:color w:val="000000"/>
          <w:sz w:val="32"/>
          <w:szCs w:val="32"/>
          <w:shd w:val="clear" w:color="auto" w:fill="auto"/>
          <w:lang w:val="en-US" w:eastAsia="zh-CN"/>
        </w:rPr>
        <w:t>运政</w:t>
      </w:r>
      <w:r>
        <w:rPr>
          <w:rFonts w:hint="eastAsia" w:ascii="仿宋_GB2312" w:hAnsi="仿宋_GB2312" w:eastAsia="仿宋_GB2312" w:cs="仿宋_GB2312"/>
          <w:color w:val="000000"/>
          <w:sz w:val="32"/>
          <w:szCs w:val="32"/>
          <w:lang w:val="en-US" w:eastAsia="zh-CN"/>
        </w:rPr>
        <w:t>系统</w:t>
      </w:r>
      <w:r>
        <w:rPr>
          <w:rFonts w:hint="eastAsia" w:ascii="仿宋_GB2312" w:hAnsi="仿宋_GB2312" w:eastAsia="仿宋_GB2312" w:cs="仿宋_GB2312"/>
          <w:color w:val="000000"/>
          <w:sz w:val="32"/>
          <w:szCs w:val="32"/>
        </w:rPr>
        <w:t>对接获取的数据应尽量做到实时获取；通过</w:t>
      </w:r>
      <w:r>
        <w:rPr>
          <w:rFonts w:hint="default" w:ascii="仿宋_GB2312" w:hAnsi="仿宋_GB2312" w:eastAsia="仿宋_GB2312" w:cs="仿宋_GB2312"/>
          <w:color w:val="000000"/>
          <w:sz w:val="32"/>
          <w:szCs w:val="32"/>
          <w:lang w:val="en-US"/>
        </w:rPr>
        <w:t>人工录入的</w:t>
      </w:r>
      <w:r>
        <w:rPr>
          <w:rFonts w:hint="eastAsia" w:ascii="仿宋_GB2312" w:hAnsi="仿宋_GB2312" w:eastAsia="仿宋_GB2312" w:cs="仿宋_GB2312"/>
          <w:color w:val="000000"/>
          <w:sz w:val="32"/>
          <w:szCs w:val="32"/>
        </w:rPr>
        <w:t>信用</w:t>
      </w:r>
      <w:r>
        <w:rPr>
          <w:rFonts w:hint="default" w:ascii="仿宋_GB2312" w:hAnsi="仿宋_GB2312" w:eastAsia="仿宋_GB2312" w:cs="仿宋_GB2312"/>
          <w:color w:val="000000"/>
          <w:sz w:val="32"/>
          <w:szCs w:val="32"/>
          <w:lang w:val="en-US"/>
        </w:rPr>
        <w:t>数据</w:t>
      </w:r>
      <w:r>
        <w:rPr>
          <w:rFonts w:hint="eastAsia" w:ascii="仿宋_GB2312" w:hAnsi="仿宋_GB2312" w:eastAsia="仿宋_GB2312" w:cs="仿宋_GB2312"/>
          <w:color w:val="000000"/>
          <w:sz w:val="32"/>
          <w:szCs w:val="32"/>
        </w:rPr>
        <w:t>应在相关行政行为作出后</w:t>
      </w:r>
      <w:r>
        <w:rPr>
          <w:rFonts w:hint="eastAsia" w:ascii="仿宋_GB2312" w:hAnsi="仿宋_GB2312" w:eastAsia="仿宋_GB2312" w:cs="仿宋_GB2312"/>
          <w:color w:val="000000"/>
          <w:sz w:val="32"/>
          <w:szCs w:val="32"/>
          <w:lang w:eastAsia="zh-CN"/>
        </w:rPr>
        <w:t>或者掌握相关情况后</w:t>
      </w:r>
      <w:r>
        <w:rPr>
          <w:rFonts w:hint="eastAsia" w:ascii="仿宋_GB2312" w:hAnsi="仿宋_GB2312" w:eastAsia="仿宋_GB2312" w:cs="仿宋_GB2312"/>
          <w:color w:val="000000"/>
          <w:sz w:val="32"/>
          <w:szCs w:val="32"/>
        </w:rPr>
        <w:t>5个工作日内填报。</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（二）内容要求：信用数据应当真实客观。归集的数据应当全面、准确、及时，不得擅自修改或者调整。</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黑体" w:hAnsi="黑体" w:eastAsia="黑体"/>
          <w:color w:val="000000"/>
          <w:kern w:val="44"/>
          <w:sz w:val="32"/>
          <w:szCs w:val="32"/>
        </w:rPr>
        <w:t>第</w:t>
      </w:r>
      <w:r>
        <w:rPr>
          <w:rFonts w:hint="eastAsia" w:ascii="黑体" w:hAnsi="黑体" w:eastAsia="黑体"/>
          <w:color w:val="000000"/>
          <w:kern w:val="44"/>
          <w:sz w:val="32"/>
          <w:szCs w:val="32"/>
          <w:lang w:eastAsia="zh-CN"/>
        </w:rPr>
        <w:t>十</w:t>
      </w:r>
      <w:r>
        <w:rPr>
          <w:rFonts w:hint="eastAsia" w:ascii="黑体" w:hAnsi="黑体" w:eastAsia="黑体"/>
          <w:color w:val="000000"/>
          <w:kern w:val="44"/>
          <w:sz w:val="32"/>
          <w:szCs w:val="32"/>
          <w:lang w:val="en-US" w:eastAsia="zh-CN"/>
        </w:rPr>
        <w:t>九</w:t>
      </w:r>
      <w:r>
        <w:rPr>
          <w:rFonts w:hint="eastAsia" w:ascii="黑体" w:hAnsi="黑体" w:eastAsia="黑体"/>
          <w:color w:val="000000"/>
          <w:kern w:val="44"/>
          <w:sz w:val="32"/>
          <w:szCs w:val="32"/>
        </w:rPr>
        <w:t>条</w:t>
      </w:r>
      <w:r>
        <w:rPr>
          <w:rFonts w:hint="eastAsia" w:ascii="黑体" w:hAnsi="黑体" w:eastAsia="黑体"/>
          <w:color w:val="000000"/>
          <w:kern w:val="44"/>
          <w:sz w:val="32"/>
          <w:szCs w:val="32"/>
          <w:lang w:val="en-US" w:eastAsia="zh-CN"/>
        </w:rPr>
        <w:t xml:space="preserve">  </w:t>
      </w:r>
      <w:r>
        <w:rPr>
          <w:rFonts w:hint="eastAsia" w:ascii="仿宋_GB2312" w:hAnsi="仿宋_GB2312" w:eastAsia="仿宋_GB2312" w:cs="仿宋_GB2312"/>
          <w:color w:val="000000"/>
          <w:kern w:val="0"/>
          <w:sz w:val="32"/>
          <w:szCs w:val="32"/>
        </w:rPr>
        <w:t>各市、县（市、区）</w:t>
      </w:r>
      <w:r>
        <w:rPr>
          <w:rFonts w:hint="default" w:ascii="仿宋_GB2312" w:hAnsi="仿宋_GB2312" w:eastAsia="仿宋_GB2312" w:cs="仿宋_GB2312"/>
          <w:color w:val="000000"/>
          <w:kern w:val="0"/>
          <w:sz w:val="32"/>
          <w:szCs w:val="32"/>
          <w:lang w:val="en-US"/>
        </w:rPr>
        <w:t>交通运输</w:t>
      </w:r>
      <w:r>
        <w:rPr>
          <w:rFonts w:hint="eastAsia" w:ascii="仿宋_GB2312" w:hAnsi="仿宋_GB2312" w:eastAsia="仿宋_GB2312" w:cs="仿宋_GB2312"/>
          <w:color w:val="000000"/>
          <w:kern w:val="0"/>
          <w:sz w:val="32"/>
          <w:szCs w:val="32"/>
          <w:lang w:val="en-US" w:eastAsia="zh-CN"/>
        </w:rPr>
        <w:t>主管</w:t>
      </w:r>
      <w:r>
        <w:rPr>
          <w:rFonts w:hint="default" w:ascii="仿宋_GB2312" w:hAnsi="仿宋_GB2312" w:eastAsia="仿宋_GB2312" w:cs="仿宋_GB2312"/>
          <w:color w:val="000000"/>
          <w:kern w:val="0"/>
          <w:sz w:val="32"/>
          <w:szCs w:val="32"/>
          <w:lang w:val="en-US"/>
        </w:rPr>
        <w:t>部门</w:t>
      </w:r>
      <w:r>
        <w:rPr>
          <w:rFonts w:hint="eastAsia" w:ascii="仿宋_GB2312" w:hAnsi="仿宋_GB2312" w:eastAsia="仿宋_GB2312" w:cs="仿宋_GB2312"/>
          <w:color w:val="000000"/>
          <w:sz w:val="32"/>
          <w:szCs w:val="32"/>
        </w:rPr>
        <w:t>应在日常工作中考虑信用数据应用需求，优化数据质量，准确收集、填报</w:t>
      </w:r>
      <w:r>
        <w:rPr>
          <w:rFonts w:hint="eastAsia" w:ascii="仿宋_GB2312" w:hAnsi="仿宋_GB2312" w:eastAsia="仿宋_GB2312" w:cs="仿宋_GB2312"/>
          <w:color w:val="000000"/>
          <w:sz w:val="32"/>
          <w:szCs w:val="32"/>
          <w:lang w:eastAsia="zh-CN"/>
        </w:rPr>
        <w:t>道路货物运输企业的</w:t>
      </w:r>
      <w:r>
        <w:rPr>
          <w:rFonts w:hint="eastAsia" w:ascii="仿宋_GB2312" w:hAnsi="仿宋_GB2312" w:eastAsia="仿宋_GB2312" w:cs="仿宋_GB2312"/>
          <w:color w:val="000000"/>
          <w:sz w:val="32"/>
          <w:szCs w:val="32"/>
        </w:rPr>
        <w:t>相关</w:t>
      </w:r>
      <w:r>
        <w:rPr>
          <w:rFonts w:hint="eastAsia" w:ascii="仿宋_GB2312" w:hAnsi="仿宋_GB2312" w:eastAsia="仿宋_GB2312" w:cs="仿宋_GB2312"/>
          <w:color w:val="000000"/>
          <w:sz w:val="32"/>
          <w:szCs w:val="32"/>
          <w:lang w:eastAsia="zh-CN"/>
        </w:rPr>
        <w:t>信息</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olor w:val="000000"/>
          <w:kern w:val="44"/>
          <w:sz w:val="32"/>
          <w:szCs w:val="32"/>
        </w:rPr>
        <w:t>第</w:t>
      </w:r>
      <w:r>
        <w:rPr>
          <w:rFonts w:hint="eastAsia" w:ascii="黑体" w:hAnsi="黑体" w:eastAsia="黑体"/>
          <w:color w:val="000000"/>
          <w:kern w:val="44"/>
          <w:sz w:val="32"/>
          <w:szCs w:val="32"/>
          <w:lang w:eastAsia="zh-CN"/>
        </w:rPr>
        <w:t>二十</w:t>
      </w:r>
      <w:r>
        <w:rPr>
          <w:rFonts w:hint="eastAsia" w:ascii="黑体" w:hAnsi="黑体" w:eastAsia="黑体"/>
          <w:color w:val="000000"/>
          <w:kern w:val="44"/>
          <w:sz w:val="32"/>
          <w:szCs w:val="32"/>
        </w:rPr>
        <w:t>条</w:t>
      </w:r>
      <w:r>
        <w:rPr>
          <w:rFonts w:hint="eastAsia" w:ascii="黑体" w:hAnsi="黑体" w:eastAsia="黑体"/>
          <w:color w:val="000000"/>
          <w:kern w:val="44"/>
          <w:sz w:val="32"/>
          <w:szCs w:val="32"/>
          <w:lang w:val="en-US" w:eastAsia="zh-CN"/>
        </w:rPr>
        <w:t xml:space="preserve">  </w:t>
      </w:r>
      <w:r>
        <w:rPr>
          <w:rFonts w:hint="eastAsia" w:ascii="仿宋_GB2312" w:hAnsi="仿宋_GB2312" w:eastAsia="仿宋_GB2312" w:cs="仿宋_GB2312"/>
          <w:color w:val="000000"/>
          <w:sz w:val="32"/>
          <w:szCs w:val="32"/>
        </w:rPr>
        <w:t>对于工作中发现的错误信用数据和被评价人质疑的信用数据，应</w:t>
      </w:r>
      <w:r>
        <w:rPr>
          <w:rFonts w:hint="default" w:ascii="仿宋_GB2312" w:hAnsi="仿宋_GB2312" w:eastAsia="仿宋_GB2312" w:cs="仿宋_GB2312"/>
          <w:color w:val="000000"/>
          <w:sz w:val="32"/>
          <w:szCs w:val="32"/>
          <w:lang w:val="en-US"/>
        </w:rPr>
        <w:t>进行</w:t>
      </w:r>
      <w:r>
        <w:rPr>
          <w:rFonts w:hint="eastAsia" w:ascii="仿宋_GB2312" w:hAnsi="仿宋_GB2312" w:eastAsia="仿宋_GB2312" w:cs="仿宋_GB2312"/>
          <w:color w:val="000000"/>
          <w:sz w:val="32"/>
          <w:szCs w:val="32"/>
        </w:rPr>
        <w:t>核对、修改。</w:t>
      </w:r>
    </w:p>
    <w:p>
      <w:pPr>
        <w:keepNext w:val="0"/>
        <w:keepLines w:val="0"/>
        <w:pageBreakBefore w:val="0"/>
        <w:widowControl w:val="0"/>
        <w:kinsoku/>
        <w:wordWrap/>
        <w:overflowPunct/>
        <w:topLinePunct w:val="0"/>
        <w:autoSpaceDE/>
        <w:autoSpaceDN/>
        <w:bidi w:val="0"/>
        <w:adjustRightInd/>
        <w:spacing w:afterLines="0"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二十一</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按照“一主体一档案，一事件一记录”的原则，依托</w:t>
      </w:r>
      <w:r>
        <w:rPr>
          <w:rFonts w:hint="eastAsia" w:ascii="仿宋_GB2312" w:hAnsi="仿宋_GB2312" w:eastAsia="仿宋_GB2312" w:cs="仿宋_GB2312"/>
          <w:color w:val="000000"/>
          <w:sz w:val="32"/>
          <w:szCs w:val="32"/>
          <w:shd w:val="clear" w:color="auto" w:fill="auto"/>
          <w:lang w:val="en-US" w:eastAsia="zh-CN"/>
        </w:rPr>
        <w:t>运政</w:t>
      </w:r>
      <w:r>
        <w:rPr>
          <w:rFonts w:hint="eastAsia" w:ascii="仿宋_GB2312" w:hAnsi="仿宋_GB2312" w:eastAsia="仿宋_GB2312" w:cs="仿宋_GB2312"/>
          <w:color w:val="000000"/>
          <w:sz w:val="32"/>
          <w:szCs w:val="32"/>
          <w:lang w:val="en-US" w:eastAsia="zh-CN"/>
        </w:rPr>
        <w:t>系统</w:t>
      </w:r>
      <w:r>
        <w:rPr>
          <w:rFonts w:hint="eastAsia" w:ascii="仿宋_GB2312" w:hAnsi="仿宋_GB2312" w:eastAsia="仿宋_GB2312" w:cs="仿宋_GB2312"/>
          <w:color w:val="000000"/>
          <w:sz w:val="32"/>
          <w:szCs w:val="32"/>
        </w:rPr>
        <w:t>建立</w:t>
      </w:r>
      <w:r>
        <w:rPr>
          <w:rFonts w:hint="eastAsia" w:ascii="仿宋_GB2312" w:hAnsi="仿宋_GB2312" w:eastAsia="仿宋_GB2312" w:cs="仿宋_GB2312"/>
          <w:color w:val="000000"/>
          <w:sz w:val="32"/>
          <w:szCs w:val="32"/>
          <w:lang w:eastAsia="zh-CN"/>
        </w:rPr>
        <w:t>道路货物运输企业</w:t>
      </w:r>
      <w:r>
        <w:rPr>
          <w:rFonts w:hint="eastAsia" w:ascii="仿宋_GB2312" w:hAnsi="仿宋_GB2312" w:eastAsia="仿宋_GB2312" w:cs="仿宋_GB2312"/>
          <w:color w:val="000000"/>
          <w:sz w:val="32"/>
          <w:szCs w:val="32"/>
        </w:rPr>
        <w:t>的电子信用档案。相关数据以及证明材料、信用评价结果等，应当一并记载或者存入电子信用档案，实现全流程可追溯。</w:t>
      </w:r>
    </w:p>
    <w:p>
      <w:pPr>
        <w:keepNext w:val="0"/>
        <w:keepLines w:val="0"/>
        <w:pageBreakBefore w:val="0"/>
        <w:widowControl w:val="0"/>
        <w:kinsoku/>
        <w:wordWrap/>
        <w:overflowPunct/>
        <w:topLinePunct w:val="0"/>
        <w:autoSpaceDE/>
        <w:autoSpaceDN/>
        <w:bidi w:val="0"/>
        <w:adjustRightInd/>
        <w:spacing w:afterLines="0" w:line="540" w:lineRule="exact"/>
        <w:jc w:val="both"/>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pacing w:afterLines="0" w:line="54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章  附  则</w:t>
      </w:r>
    </w:p>
    <w:p>
      <w:pPr>
        <w:pStyle w:val="15"/>
        <w:keepNext w:val="0"/>
        <w:keepLines w:val="0"/>
        <w:pageBreakBefore w:val="0"/>
        <w:widowControl w:val="0"/>
        <w:tabs>
          <w:tab w:val="left" w:pos="0"/>
          <w:tab w:val="left" w:pos="3686"/>
        </w:tabs>
        <w:kinsoku/>
        <w:wordWrap/>
        <w:overflowPunct/>
        <w:topLinePunct w:val="0"/>
        <w:autoSpaceDE/>
        <w:autoSpaceDN/>
        <w:bidi w:val="0"/>
        <w:adjustRightInd/>
        <w:spacing w:afterLines="0" w:line="540" w:lineRule="exact"/>
        <w:ind w:firstLine="640"/>
        <w:jc w:val="both"/>
        <w:textAlignment w:val="auto"/>
        <w:rPr>
          <w:rFonts w:hint="eastAsia" w:ascii="黑体" w:hAnsi="黑体" w:eastAsia="黑体" w:cs="黑体"/>
          <w:color w:val="000000"/>
          <w:sz w:val="32"/>
          <w:szCs w:val="32"/>
        </w:rPr>
      </w:pPr>
    </w:p>
    <w:p>
      <w:pPr>
        <w:pStyle w:val="15"/>
        <w:keepNext w:val="0"/>
        <w:keepLines w:val="0"/>
        <w:pageBreakBefore w:val="0"/>
        <w:widowControl w:val="0"/>
        <w:tabs>
          <w:tab w:val="left" w:pos="0"/>
          <w:tab w:val="left" w:pos="3686"/>
        </w:tabs>
        <w:kinsoku/>
        <w:wordWrap/>
        <w:overflowPunct/>
        <w:topLinePunct w:val="0"/>
        <w:autoSpaceDE/>
        <w:autoSpaceDN/>
        <w:bidi w:val="0"/>
        <w:adjustRightInd/>
        <w:spacing w:afterLines="0" w:line="540" w:lineRule="exact"/>
        <w:ind w:firstLine="64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本办法自印发之日起</w:t>
      </w:r>
      <w:r>
        <w:rPr>
          <w:rFonts w:hint="eastAsia" w:ascii="仿宋_GB2312" w:hAnsi="仿宋_GB2312" w:eastAsia="仿宋_GB2312" w:cs="仿宋_GB2312"/>
          <w:color w:val="000000"/>
          <w:sz w:val="32"/>
          <w:szCs w:val="32"/>
          <w:lang w:eastAsia="zh-CN"/>
        </w:rPr>
        <w:t>试行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由自治区交通运输厅负责解释</w:t>
      </w:r>
      <w:r>
        <w:rPr>
          <w:rFonts w:hint="eastAsia" w:ascii="仿宋_GB2312" w:hAnsi="仿宋_GB2312" w:eastAsia="仿宋_GB2312" w:cs="仿宋_GB2312"/>
          <w:color w:val="000000"/>
          <w:sz w:val="32"/>
          <w:szCs w:val="32"/>
        </w:rPr>
        <w:t>。</w:t>
      </w:r>
    </w:p>
    <w:p>
      <w:pPr>
        <w:pStyle w:val="15"/>
        <w:keepNext w:val="0"/>
        <w:keepLines w:val="0"/>
        <w:pageBreakBefore w:val="0"/>
        <w:widowControl w:val="0"/>
        <w:tabs>
          <w:tab w:val="left" w:pos="0"/>
          <w:tab w:val="left" w:pos="3686"/>
        </w:tabs>
        <w:kinsoku/>
        <w:wordWrap/>
        <w:overflowPunct/>
        <w:topLinePunct w:val="0"/>
        <w:autoSpaceDE/>
        <w:autoSpaceDN/>
        <w:bidi w:val="0"/>
        <w:adjustRightInd/>
        <w:spacing w:afterLines="0" w:line="540" w:lineRule="exact"/>
        <w:ind w:firstLine="640"/>
        <w:jc w:val="both"/>
        <w:textAlignment w:val="auto"/>
        <w:rPr>
          <w:rFonts w:hint="eastAsia" w:ascii="仿宋_GB2312" w:hAnsi="仿宋_GB2312" w:eastAsia="仿宋_GB2312" w:cs="仿宋_GB2312"/>
          <w:color w:val="000000"/>
          <w:sz w:val="32"/>
          <w:szCs w:val="32"/>
        </w:rPr>
      </w:pPr>
    </w:p>
    <w:p>
      <w:pPr>
        <w:pStyle w:val="15"/>
        <w:keepNext w:val="0"/>
        <w:keepLines w:val="0"/>
        <w:pageBreakBefore w:val="0"/>
        <w:widowControl w:val="0"/>
        <w:tabs>
          <w:tab w:val="left" w:pos="0"/>
          <w:tab w:val="left" w:pos="3686"/>
        </w:tabs>
        <w:kinsoku/>
        <w:wordWrap/>
        <w:overflowPunct/>
        <w:topLinePunct w:val="0"/>
        <w:autoSpaceDE/>
        <w:autoSpaceDN/>
        <w:bidi w:val="0"/>
        <w:adjustRightInd/>
        <w:spacing w:afterLines="0" w:line="540" w:lineRule="exact"/>
        <w:ind w:firstLine="640" w:firstLineChars="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附件：治超领域道路货物运输企业信用评价计分分值标准</w:t>
      </w:r>
    </w:p>
    <w:p>
      <w:pPr>
        <w:keepNext w:val="0"/>
        <w:keepLines w:val="0"/>
        <w:pageBreakBefore w:val="0"/>
        <w:widowControl w:val="0"/>
        <w:kinsoku/>
        <w:wordWrap/>
        <w:overflowPunct/>
        <w:topLinePunct w:val="0"/>
        <w:bidi w:val="0"/>
        <w:spacing w:line="580" w:lineRule="exact"/>
        <w:jc w:val="both"/>
        <w:textAlignment w:val="auto"/>
        <w:rPr>
          <w:rFonts w:ascii="Times New Roman" w:hAnsi="Times New Roman" w:eastAsia="黑体"/>
          <w:color w:val="auto"/>
          <w:sz w:val="32"/>
          <w:szCs w:val="32"/>
        </w:rPr>
      </w:pPr>
      <w:r>
        <w:rPr>
          <w:rFonts w:ascii="Times New Roman" w:hAnsi="Times New Roman" w:eastAsia="黑体"/>
          <w:color w:val="auto"/>
          <w:sz w:val="32"/>
          <w:szCs w:val="32"/>
        </w:rPr>
        <w:br w:type="page"/>
      </w:r>
      <w:r>
        <w:rPr>
          <w:rFonts w:ascii="Times New Roman" w:hAnsi="Times New Roman" w:eastAsia="黑体"/>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auto"/>
          <w:spacing w:val="0"/>
          <w:sz w:val="44"/>
          <w:szCs w:val="44"/>
          <w:lang w:eastAsia="zh-CN"/>
        </w:rPr>
      </w:pPr>
      <w:r>
        <w:rPr>
          <w:rFonts w:hint="eastAsia" w:ascii="Times New Roman" w:hAnsi="Times New Roman" w:eastAsia="方正小标宋简体"/>
          <w:color w:val="auto"/>
          <w:spacing w:val="0"/>
          <w:sz w:val="44"/>
          <w:szCs w:val="44"/>
          <w:lang w:eastAsia="zh-CN"/>
        </w:rPr>
        <w:t>治超领域</w:t>
      </w:r>
      <w:r>
        <w:rPr>
          <w:rFonts w:ascii="Times New Roman" w:hAnsi="Times New Roman" w:eastAsia="方正小标宋简体"/>
          <w:color w:val="auto"/>
          <w:spacing w:val="0"/>
          <w:sz w:val="44"/>
          <w:szCs w:val="44"/>
        </w:rPr>
        <w:t>道路</w:t>
      </w:r>
      <w:r>
        <w:rPr>
          <w:rFonts w:hint="eastAsia" w:ascii="Times New Roman" w:hAnsi="Times New Roman" w:eastAsia="方正小标宋简体"/>
          <w:color w:val="auto"/>
          <w:spacing w:val="0"/>
          <w:sz w:val="44"/>
          <w:szCs w:val="44"/>
          <w:lang w:eastAsia="zh-CN"/>
        </w:rPr>
        <w:t>货物</w:t>
      </w:r>
      <w:r>
        <w:rPr>
          <w:rFonts w:ascii="Times New Roman" w:hAnsi="Times New Roman" w:eastAsia="方正小标宋简体"/>
          <w:color w:val="auto"/>
          <w:spacing w:val="0"/>
          <w:sz w:val="44"/>
          <w:szCs w:val="44"/>
        </w:rPr>
        <w:t>运输</w:t>
      </w:r>
      <w:r>
        <w:rPr>
          <w:rFonts w:hint="eastAsia" w:ascii="Times New Roman" w:hAnsi="Times New Roman" w:eastAsia="方正小标宋简体"/>
          <w:color w:val="auto"/>
          <w:spacing w:val="0"/>
          <w:sz w:val="44"/>
          <w:szCs w:val="44"/>
          <w:lang w:eastAsia="zh-CN"/>
        </w:rPr>
        <w:t>企业信用评价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rPr>
      </w:pPr>
      <w:r>
        <w:rPr>
          <w:rFonts w:ascii="Times New Roman" w:hAnsi="Times New Roman" w:eastAsia="方正小标宋简体"/>
          <w:color w:val="auto"/>
          <w:spacing w:val="0"/>
          <w:sz w:val="44"/>
          <w:szCs w:val="44"/>
        </w:rPr>
        <w:t>计分分值标准</w:t>
      </w:r>
    </w:p>
    <w:tbl>
      <w:tblPr>
        <w:tblStyle w:val="10"/>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1"/>
        <w:gridCol w:w="316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87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CESI黑体-GB2312" w:hAnsi="CESI黑体-GB2312" w:eastAsia="CESI黑体-GB2312" w:cs="CESI黑体-GB2312"/>
                <w:color w:val="auto"/>
                <w:sz w:val="24"/>
                <w:szCs w:val="24"/>
                <w:vertAlign w:val="baseline"/>
                <w:lang w:eastAsia="zh-CN"/>
              </w:rPr>
            </w:pPr>
            <w:r>
              <w:rPr>
                <w:rFonts w:hint="eastAsia" w:ascii="CESI黑体-GB2312" w:hAnsi="CESI黑体-GB2312" w:eastAsia="CESI黑体-GB2312" w:cs="CESI黑体-GB2312"/>
                <w:color w:val="auto"/>
                <w:sz w:val="24"/>
                <w:szCs w:val="24"/>
                <w:vertAlign w:val="baseline"/>
                <w:lang w:eastAsia="zh-CN"/>
              </w:rPr>
              <w:t>计分情形</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CESI黑体-GB2312" w:hAnsi="CESI黑体-GB2312" w:eastAsia="CESI黑体-GB2312" w:cs="CESI黑体-GB2312"/>
                <w:color w:val="auto"/>
                <w:sz w:val="24"/>
                <w:szCs w:val="24"/>
                <w:vertAlign w:val="baseline"/>
                <w:lang w:eastAsia="zh-CN"/>
              </w:rPr>
            </w:pPr>
            <w:r>
              <w:rPr>
                <w:rFonts w:hint="eastAsia" w:ascii="CESI黑体-GB2312" w:hAnsi="CESI黑体-GB2312" w:eastAsia="CESI黑体-GB2312" w:cs="CESI黑体-GB2312"/>
                <w:color w:val="auto"/>
                <w:sz w:val="24"/>
                <w:szCs w:val="24"/>
                <w:vertAlign w:val="baseline"/>
                <w:lang w:eastAsia="zh-CN"/>
              </w:rPr>
              <w:t>计分标准</w:t>
            </w:r>
          </w:p>
        </w:tc>
        <w:tc>
          <w:tcPr>
            <w:tcW w:w="7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CESI黑体-GB2312" w:hAnsi="CESI黑体-GB2312" w:eastAsia="CESI黑体-GB2312" w:cs="CESI黑体-GB2312"/>
                <w:color w:val="auto"/>
                <w:sz w:val="24"/>
                <w:szCs w:val="24"/>
                <w:vertAlign w:val="baseline"/>
                <w:lang w:eastAsia="zh-CN"/>
              </w:rPr>
            </w:pPr>
            <w:r>
              <w:rPr>
                <w:rFonts w:hint="eastAsia" w:ascii="CESI黑体-GB2312" w:hAnsi="CESI黑体-GB2312" w:eastAsia="CESI黑体-GB2312" w:cs="CESI黑体-GB2312"/>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lang w:eastAsia="zh-CN"/>
              </w:rPr>
              <w:t>所属货运车辆发生道路交通事故，且违法超限</w:t>
            </w:r>
            <w:r>
              <w:rPr>
                <w:rFonts w:hint="eastAsia" w:ascii="仿宋_GB2312" w:hAnsi="仿宋_GB2312" w:eastAsia="仿宋_GB2312" w:cs="仿宋_GB2312"/>
                <w:color w:val="auto"/>
                <w:sz w:val="28"/>
                <w:szCs w:val="28"/>
                <w:lang w:val="en-US" w:eastAsia="zh-CN"/>
              </w:rPr>
              <w:t>20%及以上的</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lang w:val="en-US" w:eastAsia="zh-CN"/>
              </w:rPr>
              <w:t>一次扣20分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lang w:eastAsia="zh-CN"/>
              </w:rPr>
              <w:t>所属货运车辆违法超限</w:t>
            </w:r>
            <w:r>
              <w:rPr>
                <w:rFonts w:hint="eastAsia" w:ascii="仿宋_GB2312" w:hAnsi="仿宋_GB2312" w:eastAsia="仿宋_GB2312" w:cs="仿宋_GB2312"/>
                <w:color w:val="auto"/>
                <w:sz w:val="28"/>
                <w:szCs w:val="28"/>
                <w:lang w:val="en-US" w:eastAsia="zh-CN"/>
              </w:rPr>
              <w:t>60%及以上的</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一次扣10分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企业地址、联系人等单位信息变更未报备，导致交通运输部门无法告知违法超限信息的</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扣10分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片面解读治超有关政策法规，发表不实言论，制造舆论压力，引起行业不稳定的</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一次扣10分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所属驾驶员</w:t>
            </w:r>
            <w:r>
              <w:rPr>
                <w:rFonts w:hint="eastAsia" w:ascii="仿宋_GB2312" w:hAnsi="仿宋_GB2312" w:eastAsia="仿宋_GB2312" w:cs="仿宋_GB2312"/>
                <w:color w:val="auto"/>
                <w:sz w:val="28"/>
                <w:szCs w:val="28"/>
                <w:lang w:val="en-US" w:eastAsia="zh-CN"/>
              </w:rPr>
              <w:t>1年内违法</w:t>
            </w:r>
            <w:r>
              <w:rPr>
                <w:rFonts w:hint="eastAsia" w:ascii="仿宋_GB2312" w:hAnsi="仿宋_GB2312" w:eastAsia="仿宋_GB2312" w:cs="仿宋_GB2312"/>
                <w:color w:val="auto"/>
                <w:sz w:val="28"/>
                <w:szCs w:val="28"/>
                <w:lang w:eastAsia="zh-CN"/>
              </w:rPr>
              <w:t>超限20%及以上达</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次，</w:t>
            </w:r>
            <w:r>
              <w:rPr>
                <w:rFonts w:hint="eastAsia" w:ascii="仿宋_GB2312" w:hAnsi="仿宋_GB2312" w:eastAsia="仿宋_GB2312" w:cs="仿宋_GB2312"/>
                <w:color w:val="auto"/>
                <w:sz w:val="28"/>
                <w:szCs w:val="28"/>
                <w:lang w:val="en-US" w:eastAsia="zh-CN"/>
              </w:rPr>
              <w:t>仍继续安排其上岗运输</w:t>
            </w:r>
            <w:r>
              <w:rPr>
                <w:rFonts w:hint="eastAsia" w:ascii="仿宋_GB2312" w:hAnsi="仿宋_GB2312" w:eastAsia="仿宋_GB2312" w:cs="仿宋_GB2312"/>
                <w:color w:val="auto"/>
                <w:sz w:val="28"/>
                <w:szCs w:val="28"/>
                <w:lang w:eastAsia="zh-CN"/>
              </w:rPr>
              <w:t>的</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一次扣10分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所属驾驶员有超限</w:t>
            </w:r>
            <w:r>
              <w:rPr>
                <w:rFonts w:hint="eastAsia" w:ascii="仿宋_GB2312" w:hAnsi="仿宋_GB2312" w:eastAsia="仿宋_GB2312" w:cs="仿宋_GB2312"/>
                <w:color w:val="auto"/>
                <w:sz w:val="28"/>
                <w:szCs w:val="28"/>
                <w:lang w:val="en-US" w:eastAsia="zh-CN"/>
              </w:rPr>
              <w:t>20%及以上</w:t>
            </w:r>
            <w:r>
              <w:rPr>
                <w:rFonts w:hint="eastAsia" w:ascii="仿宋_GB2312" w:hAnsi="仿宋_GB2312" w:eastAsia="仿宋_GB2312" w:cs="仿宋_GB2312"/>
                <w:color w:val="auto"/>
                <w:sz w:val="28"/>
                <w:szCs w:val="28"/>
                <w:lang w:eastAsia="zh-CN"/>
              </w:rPr>
              <w:t>违法运输行为，未经严肃处理仍继续安排上岗运输的</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一次扣5分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lang w:eastAsia="zh-CN"/>
              </w:rPr>
              <w:t>所属货运车辆违法超限</w:t>
            </w:r>
            <w:r>
              <w:rPr>
                <w:rFonts w:hint="eastAsia" w:ascii="仿宋_GB2312" w:hAnsi="仿宋_GB2312" w:eastAsia="仿宋_GB2312" w:cs="仿宋_GB2312"/>
                <w:color w:val="auto"/>
                <w:sz w:val="28"/>
                <w:szCs w:val="28"/>
                <w:lang w:val="en-US" w:eastAsia="zh-CN"/>
              </w:rPr>
              <w:t>20%～60%的</w:t>
            </w:r>
          </w:p>
        </w:tc>
        <w:tc>
          <w:tcPr>
            <w:tcW w:w="316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一次扣5分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lang w:eastAsia="zh-CN"/>
              </w:rPr>
              <w:t>不按规定配合交通运输部门调查处理公路不停车超限检测点超限记录的</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lang w:val="en-US" w:eastAsia="zh-CN"/>
              </w:rPr>
              <w:t>一次扣5分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1"/>
                <w:sz w:val="28"/>
                <w:szCs w:val="28"/>
                <w:lang w:eastAsia="zh-CN"/>
              </w:rPr>
              <w:t>所属货运车辆非法改装</w:t>
            </w:r>
            <w:r>
              <w:rPr>
                <w:rFonts w:hint="eastAsia" w:ascii="仿宋_GB2312" w:hAnsi="仿宋_GB2312" w:eastAsia="仿宋_GB2312" w:cs="仿宋_GB2312"/>
                <w:color w:val="auto"/>
                <w:spacing w:val="-11"/>
                <w:sz w:val="28"/>
                <w:szCs w:val="28"/>
              </w:rPr>
              <w:t>从事道路运输经营活动的</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一次扣5分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所属货运车辆违法超限运输，在调查中不配合提供货物装载源头单位信息的</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一次扣2分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所属货运车辆运载不可解体的超限物品时，未按照《超限运输车辆通行证》审批路线行驶</w:t>
            </w:r>
          </w:p>
        </w:tc>
        <w:tc>
          <w:tcPr>
            <w:tcW w:w="31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Ⅰ类、Ⅱ类大件运输车辆一次扣2分，Ⅲ类大件运输车辆一次扣5分</w:t>
            </w:r>
          </w:p>
        </w:tc>
        <w:tc>
          <w:tcPr>
            <w:tcW w:w="7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320" w:lineRule="exact"/>
        <w:ind w:left="237" w:leftChars="75" w:firstLine="236" w:firstLineChars="1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说明：1.道路运输企业所属</w:t>
      </w:r>
      <w:r>
        <w:rPr>
          <w:rFonts w:hint="eastAsia" w:ascii="仿宋_GB2312" w:hAnsi="仿宋_GB2312" w:eastAsia="仿宋_GB2312" w:cs="仿宋_GB2312"/>
          <w:color w:val="auto"/>
          <w:sz w:val="24"/>
          <w:szCs w:val="24"/>
          <w:lang w:eastAsia="zh-CN"/>
        </w:rPr>
        <w:t>货运</w:t>
      </w:r>
      <w:r>
        <w:rPr>
          <w:rFonts w:hint="eastAsia" w:ascii="仿宋_GB2312" w:hAnsi="仿宋_GB2312" w:eastAsia="仿宋_GB2312" w:cs="仿宋_GB2312"/>
          <w:color w:val="auto"/>
          <w:sz w:val="24"/>
          <w:szCs w:val="24"/>
          <w:lang w:val="en-US" w:eastAsia="zh-CN"/>
        </w:rPr>
        <w:t>车辆及驾驶员违法超限运输的，以广西行政区域内的现场执法、公路不停车超限检测点检测记录以及高速公路入口称重检测记录为主要数据来源，广西行政区域外共享或者抄告的违法超限运输情况为补充数据来源。</w:t>
      </w:r>
    </w:p>
    <w:p>
      <w:pPr>
        <w:pStyle w:val="8"/>
        <w:keepNext w:val="0"/>
        <w:keepLines w:val="0"/>
        <w:pageBreakBefore w:val="0"/>
        <w:widowControl w:val="0"/>
        <w:kinsoku/>
        <w:wordWrap/>
        <w:overflowPunct/>
        <w:topLinePunct w:val="0"/>
        <w:autoSpaceDE/>
        <w:autoSpaceDN/>
        <w:bidi w:val="0"/>
        <w:adjustRightInd/>
        <w:snapToGrid/>
        <w:spacing w:after="0" w:afterLines="0" w:line="320" w:lineRule="exact"/>
        <w:ind w:left="0" w:leftChars="0" w:firstLine="428" w:firstLineChars="200"/>
        <w:jc w:val="both"/>
        <w:textAlignment w:val="auto"/>
        <w:rPr>
          <w:rFonts w:hint="eastAsia" w:ascii="仿宋_GB2312" w:hAnsi="仿宋_GB2312" w:eastAsia="仿宋_GB2312" w:cs="仿宋_GB2312"/>
          <w:color w:val="auto"/>
          <w:spacing w:val="-11"/>
          <w:sz w:val="24"/>
          <w:szCs w:val="24"/>
          <w:lang w:val="en-US" w:eastAsia="zh-CN"/>
        </w:rPr>
      </w:pPr>
      <w:r>
        <w:rPr>
          <w:rFonts w:hint="eastAsia" w:ascii="仿宋_GB2312" w:hAnsi="仿宋_GB2312" w:eastAsia="仿宋_GB2312" w:cs="仿宋_GB2312"/>
          <w:color w:val="auto"/>
          <w:spacing w:val="-11"/>
          <w:sz w:val="24"/>
          <w:szCs w:val="24"/>
          <w:lang w:val="en-US" w:eastAsia="zh-CN"/>
        </w:rPr>
        <w:t>2.发生道路交通事故，同时存在违法超限、非法改装的，按较重情形计分，即一次扣20分。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320" w:lineRule="exact"/>
        <w:ind w:firstLine="428" w:firstLineChars="200"/>
        <w:jc w:val="both"/>
        <w:textAlignment w:val="auto"/>
        <w:rPr>
          <w:rFonts w:hint="eastAsia" w:ascii="仿宋_GB2312" w:hAnsi="仿宋_GB2312" w:eastAsia="仿宋_GB2312" w:cs="仿宋_GB2312"/>
          <w:color w:val="auto"/>
          <w:spacing w:val="-11"/>
          <w:sz w:val="24"/>
          <w:szCs w:val="24"/>
          <w:lang w:val="en-US" w:eastAsia="zh-CN"/>
        </w:rPr>
      </w:pPr>
      <w:r>
        <w:rPr>
          <w:rFonts w:hint="eastAsia" w:ascii="仿宋_GB2312" w:hAnsi="仿宋_GB2312" w:eastAsia="仿宋_GB2312" w:cs="仿宋_GB2312"/>
          <w:color w:val="auto"/>
          <w:spacing w:val="-11"/>
          <w:sz w:val="24"/>
          <w:szCs w:val="24"/>
          <w:lang w:val="en-US" w:eastAsia="zh-CN"/>
        </w:rPr>
        <w:t>3.同一</w:t>
      </w:r>
      <w:r>
        <w:rPr>
          <w:rFonts w:hint="eastAsia" w:ascii="仿宋_GB2312" w:hAnsi="仿宋_GB2312" w:eastAsia="仿宋_GB2312" w:cs="仿宋_GB2312"/>
          <w:color w:val="auto"/>
          <w:spacing w:val="-11"/>
          <w:sz w:val="24"/>
          <w:szCs w:val="24"/>
          <w:lang w:eastAsia="zh-CN"/>
        </w:rPr>
        <w:t>货运</w:t>
      </w:r>
      <w:r>
        <w:rPr>
          <w:rFonts w:hint="eastAsia" w:ascii="仿宋_GB2312" w:hAnsi="仿宋_GB2312" w:eastAsia="仿宋_GB2312" w:cs="仿宋_GB2312"/>
          <w:color w:val="auto"/>
          <w:spacing w:val="-11"/>
          <w:sz w:val="24"/>
          <w:szCs w:val="24"/>
          <w:lang w:val="en-US" w:eastAsia="zh-CN"/>
        </w:rPr>
        <w:t>车辆同时存在违法超限及非法改装行为的，分别按照上述计分标准进行扣分。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320" w:lineRule="exact"/>
        <w:ind w:firstLine="472"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4.经公路不停车超限检测点记录违法超限，且不按规定配合调查处理的，分别按照上述计分标准进行扣分。</w:t>
      </w:r>
    </w:p>
    <w:p>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5.所属驾驶员违法超限运输，同时符合2种计分情形的，按较重情形予以扣分。</w:t>
      </w:r>
    </w:p>
    <w:p>
      <w:pPr>
        <w:pStyle w:val="2"/>
        <w:keepNext w:val="0"/>
        <w:keepLines w:val="0"/>
        <w:pageBreakBefore w:val="0"/>
        <w:widowControl w:val="0"/>
        <w:kinsoku/>
        <w:wordWrap/>
        <w:overflowPunct/>
        <w:topLinePunct w:val="0"/>
        <w:bidi w:val="0"/>
        <w:jc w:val="both"/>
        <w:textAlignment w:val="auto"/>
        <w:rPr>
          <w:rFonts w:hint="eastAsia" w:ascii="仿宋_GB2312"/>
          <w:color w:val="000000"/>
          <w:lang w:val="en-US" w:eastAsia="zh-CN"/>
        </w:rPr>
      </w:pPr>
    </w:p>
    <w:p>
      <w:pPr>
        <w:keepNext w:val="0"/>
        <w:keepLines w:val="0"/>
        <w:pageBreakBefore w:val="0"/>
        <w:widowControl w:val="0"/>
        <w:kinsoku/>
        <w:wordWrap/>
        <w:overflowPunct/>
        <w:topLinePunct w:val="0"/>
        <w:bidi w:val="0"/>
        <w:jc w:val="both"/>
        <w:textAlignment w:val="auto"/>
        <w:rPr>
          <w:rFonts w:hint="eastAsia" w:ascii="仿宋_GB2312"/>
          <w:color w:val="000000"/>
          <w:lang w:val="en-US" w:eastAsia="zh-CN"/>
        </w:rPr>
      </w:pPr>
    </w:p>
    <w:p>
      <w:pPr>
        <w:pStyle w:val="2"/>
        <w:keepNext w:val="0"/>
        <w:keepLines w:val="0"/>
        <w:pageBreakBefore w:val="0"/>
        <w:widowControl w:val="0"/>
        <w:kinsoku/>
        <w:wordWrap/>
        <w:overflowPunct/>
        <w:topLinePunct w:val="0"/>
        <w:bidi w:val="0"/>
        <w:jc w:val="both"/>
        <w:textAlignment w:val="auto"/>
        <w:rPr>
          <w:rFonts w:hint="eastAsia" w:ascii="仿宋_GB2312"/>
          <w:color w:val="000000"/>
          <w:lang w:val="en-US" w:eastAsia="zh-CN"/>
        </w:rPr>
      </w:pPr>
    </w:p>
    <w:p>
      <w:pPr>
        <w:keepNext w:val="0"/>
        <w:keepLines w:val="0"/>
        <w:pageBreakBefore w:val="0"/>
        <w:widowControl w:val="0"/>
        <w:kinsoku/>
        <w:wordWrap/>
        <w:overflowPunct/>
        <w:topLinePunct w:val="0"/>
        <w:bidi w:val="0"/>
        <w:jc w:val="both"/>
        <w:textAlignment w:val="auto"/>
        <w:rPr>
          <w:rFonts w:hint="eastAsia"/>
          <w:lang w:val="en-US" w:eastAsia="zh-CN"/>
        </w:rPr>
      </w:pPr>
    </w:p>
    <w:bookmarkEnd w:id="0"/>
    <w:tbl>
      <w:tblPr>
        <w:tblStyle w:val="9"/>
        <w:tblpPr w:leftFromText="180" w:rightFromText="180" w:vertAnchor="text" w:horzAnchor="page" w:tblpX="1592" w:tblpY="10317"/>
        <w:tblW w:w="9060"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22"/>
        <w:gridCol w:w="3738"/>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322" w:type="dxa"/>
            <w:tcBorders>
              <w:top w:val="single" w:color="auto" w:sz="0" w:space="0"/>
              <w:left w:val="nil"/>
              <w:bottom w:val="single" w:color="auto" w:sz="0" w:space="0"/>
              <w:right w:val="nil"/>
            </w:tcBorders>
            <w:shd w:val="clear" w:color="auto" w:fill="auto"/>
            <w:noWrap w:val="0"/>
            <w:vAlign w:val="top"/>
          </w:tcPr>
          <w:p>
            <w:pPr>
              <w:keepNext w:val="0"/>
              <w:keepLines w:val="0"/>
              <w:pageBreakBefore w:val="0"/>
              <w:widowControl w:val="0"/>
              <w:kinsoku/>
              <w:wordWrap/>
              <w:overflowPunct/>
              <w:topLinePunct w:val="0"/>
              <w:bidi w:val="0"/>
              <w:spacing w:line="560" w:lineRule="exact"/>
              <w:ind w:left="-88" w:leftChars="-28" w:firstLine="276" w:firstLineChars="100"/>
              <w:jc w:val="both"/>
              <w:textAlignment w:val="auto"/>
              <w:rPr>
                <w:color w:val="000000"/>
                <w:sz w:val="28"/>
                <w:szCs w:val="28"/>
                <w:lang w:val="en-US" w:eastAsia="zh-CN"/>
              </w:rPr>
            </w:pPr>
            <w:r>
              <w:rPr>
                <w:rFonts w:hint="eastAsia"/>
                <w:color w:val="000000"/>
                <w:sz w:val="28"/>
                <w:szCs w:val="28"/>
                <w:lang w:val="en-US" w:eastAsia="zh-CN"/>
              </w:rPr>
              <w:t>广西壮族自治区交通运输厅办公室</w:t>
            </w:r>
          </w:p>
        </w:tc>
        <w:tc>
          <w:tcPr>
            <w:tcW w:w="3738" w:type="dxa"/>
            <w:tcBorders>
              <w:top w:val="single" w:color="auto" w:sz="0" w:space="0"/>
              <w:left w:val="nil"/>
              <w:bottom w:val="single" w:color="auto" w:sz="0" w:space="0"/>
              <w:right w:val="nil"/>
            </w:tcBorders>
            <w:shd w:val="clear" w:color="auto" w:fill="auto"/>
            <w:noWrap w:val="0"/>
            <w:vAlign w:val="top"/>
          </w:tcPr>
          <w:p>
            <w:pPr>
              <w:keepNext w:val="0"/>
              <w:keepLines w:val="0"/>
              <w:pageBreakBefore w:val="0"/>
              <w:widowControl w:val="0"/>
              <w:kinsoku/>
              <w:wordWrap/>
              <w:overflowPunct/>
              <w:topLinePunct w:val="0"/>
              <w:bidi w:val="0"/>
              <w:spacing w:line="560" w:lineRule="exact"/>
              <w:ind w:right="151" w:rightChars="48" w:firstLine="552" w:firstLineChars="200"/>
              <w:jc w:val="both"/>
              <w:textAlignment w:val="auto"/>
              <w:rPr>
                <w:color w:val="000000"/>
                <w:sz w:val="28"/>
                <w:szCs w:val="28"/>
                <w:lang w:val="en-US" w:eastAsia="zh-CN"/>
              </w:rPr>
            </w:pPr>
            <w:bookmarkStart w:id="2" w:name="印发日期"/>
            <w:r>
              <w:rPr>
                <w:rFonts w:hint="eastAsia" w:ascii="仿宋_GB2312"/>
                <w:color w:val="000000"/>
                <w:sz w:val="28"/>
                <w:szCs w:val="28"/>
                <w:lang w:val="en-US" w:eastAsia="zh-CN"/>
              </w:rPr>
              <w:t>2024年10月11日</w:t>
            </w:r>
            <w:bookmarkEnd w:id="2"/>
            <w:r>
              <w:rPr>
                <w:rFonts w:hint="eastAsia" w:ascii="仿宋_GB2312"/>
                <w:color w:val="000000"/>
                <w:sz w:val="28"/>
                <w:szCs w:val="28"/>
                <w:lang w:val="en-US" w:eastAsia="zh-CN"/>
              </w:rPr>
              <w:t>印</w:t>
            </w:r>
            <w:r>
              <w:rPr>
                <w:rFonts w:hint="eastAsia"/>
                <w:color w:val="000000"/>
                <w:sz w:val="28"/>
                <w:szCs w:val="28"/>
                <w:lang w:val="en-US" w:eastAsia="zh-CN"/>
              </w:rPr>
              <w:t>发　　</w:t>
            </w:r>
            <w:r>
              <w:rPr>
                <w:color w:val="000000"/>
                <w:sz w:val="28"/>
                <w:szCs w:val="28"/>
                <w:lang w:val="en-US" w:eastAsia="zh-CN"/>
              </w:rPr>
              <w:t xml:space="preserve"> </w:t>
            </w:r>
            <w:r>
              <w:rPr>
                <w:rFonts w:hint="eastAsia"/>
                <w:color w:val="000000"/>
                <w:sz w:val="28"/>
                <w:szCs w:val="28"/>
                <w:lang w:val="en-US" w:eastAsia="zh-CN"/>
              </w:rPr>
              <w:t>　</w:t>
            </w:r>
            <w:r>
              <w:rPr>
                <w:color w:val="000000"/>
                <w:sz w:val="28"/>
                <w:szCs w:val="28"/>
                <w:lang w:val="en-US" w:eastAsia="zh-CN"/>
              </w:rPr>
              <w:t xml:space="preserve">   </w:t>
            </w:r>
            <w:bookmarkStart w:id="3" w:name="参考文件描述"/>
          </w:p>
        </w:tc>
      </w:tr>
      <w:bookmarkEnd w:id="3"/>
    </w:tbl>
    <w:p>
      <w:pPr>
        <w:keepNext w:val="0"/>
        <w:keepLines w:val="0"/>
        <w:pageBreakBefore w:val="0"/>
        <w:widowControl w:val="0"/>
        <w:kinsoku/>
        <w:wordWrap/>
        <w:overflowPunct/>
        <w:topLinePunct w:val="0"/>
        <w:bidi w:val="0"/>
        <w:spacing w:line="20" w:lineRule="exact"/>
        <w:jc w:val="both"/>
        <w:textAlignment w:val="auto"/>
        <w:rPr>
          <w:rFonts w:ascii="仿宋_GB2312"/>
          <w:color w:val="000000"/>
          <w:szCs w:val="32"/>
          <w:lang w:val="en-US" w:eastAsia="zh-CN"/>
        </w:rPr>
      </w:pPr>
      <w:r>
        <w:rPr>
          <w:color w:val="000000"/>
          <w:lang w:val="en-US" w:eastAsia="zh-CN"/>
        </w:rPr>
        <w:drawing>
          <wp:anchor distT="0" distB="0" distL="114300" distR="114300" simplePos="0" relativeHeight="251662336" behindDoc="0" locked="0" layoutInCell="1" allowOverlap="1">
            <wp:simplePos x="0" y="0"/>
            <wp:positionH relativeFrom="page">
              <wp:posOffset>4756785</wp:posOffset>
            </wp:positionH>
            <wp:positionV relativeFrom="page">
              <wp:posOffset>9819005</wp:posOffset>
            </wp:positionV>
            <wp:extent cx="1789430" cy="434975"/>
            <wp:effectExtent l="0" t="0" r="1270" b="3175"/>
            <wp:wrapNone/>
            <wp:docPr id="4" name="图片 7" descr="/tmp/公文二维码GW1728615175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tmp/公文二维码GW1728615175931.png"/>
                    <pic:cNvPicPr>
                      <a:picLocks noChangeAspect="1"/>
                    </pic:cNvPicPr>
                  </pic:nvPicPr>
                  <pic:blipFill>
                    <a:blip r:embed="rId9" r:link="rId10"/>
                    <a:stretch>
                      <a:fillRect/>
                    </a:stretch>
                  </pic:blipFill>
                  <pic:spPr>
                    <a:xfrm>
                      <a:off x="0" y="0"/>
                      <a:ext cx="1789430" cy="434975"/>
                    </a:xfrm>
                    <a:prstGeom prst="rect">
                      <a:avLst/>
                    </a:prstGeom>
                    <a:noFill/>
                    <a:ln>
                      <a:noFill/>
                    </a:ln>
                  </pic:spPr>
                </pic:pic>
              </a:graphicData>
            </a:graphic>
          </wp:anchor>
        </w:drawing>
      </w:r>
      <w:r>
        <w:rPr>
          <w:sz w:val="32"/>
        </w:rPr>
        <mc:AlternateContent>
          <mc:Choice Requires="wps">
            <w:drawing>
              <wp:anchor distT="0" distB="0" distL="114300" distR="114300" simplePos="0" relativeHeight="251661312" behindDoc="0" locked="0" layoutInCell="1" allowOverlap="1">
                <wp:simplePos x="0" y="0"/>
                <wp:positionH relativeFrom="column">
                  <wp:posOffset>4845685</wp:posOffset>
                </wp:positionH>
                <wp:positionV relativeFrom="paragraph">
                  <wp:posOffset>1303020</wp:posOffset>
                </wp:positionV>
                <wp:extent cx="467360" cy="76200"/>
                <wp:effectExtent l="0" t="0" r="8890" b="0"/>
                <wp:wrapNone/>
                <wp:docPr id="3" name="文本框 4"/>
                <wp:cNvGraphicFramePr/>
                <a:graphic xmlns:a="http://schemas.openxmlformats.org/drawingml/2006/main">
                  <a:graphicData uri="http://schemas.microsoft.com/office/word/2010/wordprocessingShape">
                    <wps:wsp>
                      <wps:cNvSpPr txBox="1"/>
                      <wps:spPr>
                        <a:xfrm>
                          <a:off x="0" y="0"/>
                          <a:ext cx="467360" cy="76200"/>
                        </a:xfrm>
                        <a:prstGeom prst="rect">
                          <a:avLst/>
                        </a:prstGeom>
                        <a:solidFill>
                          <a:srgbClr val="FFFFFF"/>
                        </a:solidFill>
                        <a:ln>
                          <a:noFill/>
                        </a:ln>
                      </wps:spPr>
                      <wps:txbx>
                        <w:txbxContent>
                          <w:p/>
                        </w:txbxContent>
                      </wps:txbx>
                      <wps:bodyPr vert="horz" wrap="square" anchor="t" anchorCtr="0" upright="1"/>
                    </wps:wsp>
                  </a:graphicData>
                </a:graphic>
              </wp:anchor>
            </w:drawing>
          </mc:Choice>
          <mc:Fallback>
            <w:pict>
              <v:shape id="文本框 4" o:spid="_x0000_s1026" o:spt="202" type="#_x0000_t202" style="position:absolute;left:0pt;margin-left:381.55pt;margin-top:102.6pt;height:6pt;width:36.8pt;z-index:251661312;mso-width-relative:page;mso-height-relative:page;" fillcolor="#FFFFFF" filled="t" stroked="f" coordsize="21600,21600" o:gfxdata="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tLpr2QAAAAsBAAAPAAAA&#10;AAAAAAEAIAAAACIAAABkcnMvZG93bnJldi54bWxQSwECFAAUAAAACACHTuJAf5xrVNsBAACoAwAA&#10;DgAAAAAAAAABACAAAAAoAQAAZHJzL2Uyb0RvYy54bWxQSwUGAAAAAAYABgBZAQAAdQUAAAAA&#10;">
                <v:fill on="t" focussize="0,0"/>
                <v:stroke on="f"/>
                <v:imagedata o:title=""/>
                <o:lock v:ext="edit" aspectratio="f"/>
                <v:textbox>
                  <w:txbxContent>
                    <w:p/>
                  </w:txbxContent>
                </v:textbox>
              </v:shape>
            </w:pict>
          </mc:Fallback>
        </mc:AlternateContent>
      </w:r>
      <w:r>
        <w:rPr>
          <w:color w:val="000000"/>
          <w:lang w:val="en-US" w:eastAsia="zh-CN"/>
        </w:rPr>
        <mc:AlternateContent>
          <mc:Choice Requires="wps">
            <w:drawing>
              <wp:anchor distT="0" distB="0" distL="114300" distR="114300" simplePos="0" relativeHeight="251660288" behindDoc="0" locked="0" layoutInCell="1" allowOverlap="1">
                <wp:simplePos x="0" y="0"/>
                <wp:positionH relativeFrom="column">
                  <wp:posOffset>3562350</wp:posOffset>
                </wp:positionH>
                <wp:positionV relativeFrom="paragraph">
                  <wp:posOffset>1609090</wp:posOffset>
                </wp:positionV>
                <wp:extent cx="2245995" cy="1619885"/>
                <wp:effectExtent l="0" t="0" r="1905" b="18415"/>
                <wp:wrapNone/>
                <wp:docPr id="1" name="_x0000_s35664"/>
                <wp:cNvGraphicFramePr/>
                <a:graphic xmlns:a="http://schemas.openxmlformats.org/drawingml/2006/main">
                  <a:graphicData uri="http://schemas.microsoft.com/office/word/2010/wordprocessingShape">
                    <wps:wsp>
                      <wps:cNvSpPr txBox="1"/>
                      <wps:spPr>
                        <a:xfrm>
                          <a:off x="0" y="0"/>
                          <a:ext cx="2245995" cy="1619885"/>
                        </a:xfrm>
                        <a:prstGeom prst="rect">
                          <a:avLst/>
                        </a:prstGeom>
                        <a:solidFill>
                          <a:srgbClr val="FFFFFF"/>
                        </a:solidFill>
                        <a:ln>
                          <a:noFill/>
                        </a:ln>
                      </wps:spPr>
                      <wps:txbx>
                        <w:txbxContent>
                          <w:p>
                            <w:pPr>
                              <w:jc w:val="both"/>
                              <w:rPr>
                                <w:lang w:val="en-US" w:eastAsia="zh-CN"/>
                              </w:rPr>
                            </w:pPr>
                          </w:p>
                        </w:txbxContent>
                      </wps:txbx>
                      <wps:bodyPr wrap="square" upright="1">
                        <a:spAutoFit/>
                      </wps:bodyPr>
                    </wps:wsp>
                  </a:graphicData>
                </a:graphic>
                <wp14:sizeRelH relativeFrom="margin">
                  <wp14:pctWidth>40000</wp14:pctWidth>
                </wp14:sizeRelH>
                <wp14:sizeRelV relativeFrom="margin">
                  <wp14:pctHeight>20000</wp14:pctHeight>
                </wp14:sizeRelV>
              </wp:anchor>
            </w:drawing>
          </mc:Choice>
          <mc:Fallback>
            <w:pict>
              <v:shape id="_x0000_s35664" o:spid="_x0000_s1026" o:spt="202" type="#_x0000_t202" style="position:absolute;left:0pt;margin-left:280.5pt;margin-top:126.7pt;height:127.55pt;width:176.85pt;z-index:251660288;mso-width-relative:margin;mso-height-relative:margin;mso-width-percent:400;mso-height-percent:200;" fillcolor="#FFFFFF" filled="t" stroked="f" coordsize="21600,21600" o:gfxdata="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oG88dsAAAALAQAADwAAAAAAAAABACAAAAAiAAAA&#10;ZHJzL2Rvd25yZXYueG1sUEsBAhQAFAAAAAgAh07iQBAJtxXLAQAAogMAAA4AAAAAAAAAAQAgAAAA&#10;KgEAAGRycy9lMm9Eb2MueG1sUEsFBgAAAAAGAAYAWQEAAGcFAAAAAA==&#10;">
                <v:fill on="t" focussize="0,0"/>
                <v:stroke on="f"/>
                <v:imagedata o:title=""/>
                <o:lock v:ext="edit" aspectratio="f"/>
                <v:textbox style="mso-fit-shape-to-text:t;">
                  <w:txbxContent>
                    <w:p>
                      <w:pPr>
                        <w:jc w:val="both"/>
                        <w:rPr>
                          <w:lang w:val="en-US" w:eastAsia="zh-CN"/>
                        </w:rPr>
                      </w:pPr>
                    </w:p>
                  </w:txbxContent>
                </v:textbox>
              </v:shape>
            </w:pict>
          </mc:Fallback>
        </mc:AlternateContent>
      </w:r>
    </w:p>
    <w:sectPr>
      <w:headerReference r:id="rId5" w:type="first"/>
      <w:headerReference r:id="rId3" w:type="default"/>
      <w:footerReference r:id="rId6" w:type="default"/>
      <w:headerReference r:id="rId4" w:type="even"/>
      <w:footerReference r:id="rId7" w:type="even"/>
      <w:pgSz w:w="11906" w:h="16838"/>
      <w:pgMar w:top="2041" w:right="1531" w:bottom="2041" w:left="1531" w:header="851" w:footer="992"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rFonts w:ascii="宋体" w:hAnsi="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ordWrap w:val="0"/>
                            <w:jc w:val="right"/>
                          </w:pPr>
                          <w:r>
                            <w:rPr>
                              <w:rFonts w:hint="eastAsia" w:ascii="宋体" w:hAnsi="宋体"/>
                              <w:sz w:val="28"/>
                              <w:szCs w:val="28"/>
                              <w:lang w:val="en-US" w:eastAsia="zh-CN"/>
                            </w:rPr>
                            <w:t xml:space="preserve">— </w:t>
                          </w:r>
                          <w:r>
                            <w:rPr>
                              <w:rFonts w:ascii="宋体" w:hAnsi="宋体"/>
                              <w:sz w:val="28"/>
                              <w:szCs w:val="28"/>
                              <w:lang w:val="en-US" w:eastAsia="zh-CN"/>
                            </w:rPr>
                            <w:fldChar w:fldCharType="begin"/>
                          </w:r>
                          <w:r>
                            <w:rPr>
                              <w:rFonts w:ascii="宋体" w:hAnsi="宋体"/>
                              <w:sz w:val="28"/>
                              <w:szCs w:val="28"/>
                              <w:lang w:val="en-US" w:eastAsia="zh-CN"/>
                            </w:rPr>
                            <w:instrText xml:space="preserve"> PAGE   \* MERGEFORMAT </w:instrText>
                          </w:r>
                          <w:r>
                            <w:rPr>
                              <w:rFonts w:ascii="宋体" w:hAnsi="宋体"/>
                              <w:sz w:val="28"/>
                              <w:szCs w:val="28"/>
                              <w:lang w:val="en-US" w:eastAsia="zh-CN"/>
                            </w:rPr>
                            <w:fldChar w:fldCharType="separate"/>
                          </w:r>
                          <w:r>
                            <w:rPr>
                              <w:rFonts w:ascii="宋体" w:hAnsi="宋体"/>
                              <w:sz w:val="28"/>
                              <w:szCs w:val="28"/>
                              <w:lang w:val="zh-CN" w:eastAsia="zh-CN"/>
                            </w:rPr>
                            <w:t>2</w:t>
                          </w:r>
                          <w:r>
                            <w:rPr>
                              <w:rFonts w:ascii="宋体" w:hAnsi="宋体"/>
                              <w:sz w:val="28"/>
                              <w:szCs w:val="28"/>
                              <w:lang w:val="en-US" w:eastAsia="zh-CN"/>
                            </w:rPr>
                            <w:fldChar w:fldCharType="end"/>
                          </w:r>
                          <w:r>
                            <w:rPr>
                              <w:rFonts w:hint="eastAsia" w:ascii="宋体" w:hAnsi="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h6UN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aHpQ3gEAAL4DAAAOAAAAAAAA&#10;AAEAIAAAAB4BAABkcnMvZTJvRG9jLnhtbFBLBQYAAAAABgAGAFkBAABuBQAAAAA=&#10;">
              <v:fill on="f" focussize="0,0"/>
              <v:stroke on="f"/>
              <v:imagedata o:title=""/>
              <o:lock v:ext="edit" aspectratio="f"/>
              <v:textbox inset="0mm,0mm,0mm,0mm" style="mso-fit-shape-to-text:t;">
                <w:txbxContent>
                  <w:p>
                    <w:pPr>
                      <w:wordWrap w:val="0"/>
                      <w:jc w:val="right"/>
                    </w:pPr>
                    <w:r>
                      <w:rPr>
                        <w:rFonts w:hint="eastAsia" w:ascii="宋体" w:hAnsi="宋体"/>
                        <w:sz w:val="28"/>
                        <w:szCs w:val="28"/>
                        <w:lang w:val="en-US" w:eastAsia="zh-CN"/>
                      </w:rPr>
                      <w:t xml:space="preserve">— </w:t>
                    </w:r>
                    <w:r>
                      <w:rPr>
                        <w:rFonts w:ascii="宋体" w:hAnsi="宋体"/>
                        <w:sz w:val="28"/>
                        <w:szCs w:val="28"/>
                        <w:lang w:val="en-US" w:eastAsia="zh-CN"/>
                      </w:rPr>
                      <w:fldChar w:fldCharType="begin"/>
                    </w:r>
                    <w:r>
                      <w:rPr>
                        <w:rFonts w:ascii="宋体" w:hAnsi="宋体"/>
                        <w:sz w:val="28"/>
                        <w:szCs w:val="28"/>
                        <w:lang w:val="en-US" w:eastAsia="zh-CN"/>
                      </w:rPr>
                      <w:instrText xml:space="preserve"> PAGE   \* MERGEFORMAT </w:instrText>
                    </w:r>
                    <w:r>
                      <w:rPr>
                        <w:rFonts w:ascii="宋体" w:hAnsi="宋体"/>
                        <w:sz w:val="28"/>
                        <w:szCs w:val="28"/>
                        <w:lang w:val="en-US" w:eastAsia="zh-CN"/>
                      </w:rPr>
                      <w:fldChar w:fldCharType="separate"/>
                    </w:r>
                    <w:r>
                      <w:rPr>
                        <w:rFonts w:ascii="宋体" w:hAnsi="宋体"/>
                        <w:sz w:val="28"/>
                        <w:szCs w:val="28"/>
                        <w:lang w:val="zh-CN" w:eastAsia="zh-CN"/>
                      </w:rPr>
                      <w:t>2</w:t>
                    </w:r>
                    <w:r>
                      <w:rPr>
                        <w:rFonts w:ascii="宋体" w:hAnsi="宋体"/>
                        <w:sz w:val="28"/>
                        <w:szCs w:val="28"/>
                        <w:lang w:val="en-US" w:eastAsia="zh-CN"/>
                      </w:rPr>
                      <w:fldChar w:fldCharType="end"/>
                    </w:r>
                    <w:r>
                      <w:rPr>
                        <w:rFonts w:hint="eastAsia" w:ascii="宋体" w:hAnsi="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宋体" w:hAnsi="宋体"/>
        <w:sz w:val="28"/>
        <w:szCs w:val="28"/>
        <w:lang w:val="en-US" w:eastAsia="zh-CN"/>
      </w:rPr>
    </w:pPr>
    <w:r>
      <w:rPr>
        <w:rFonts w:hint="eastAsia" w:ascii="宋体" w:hAnsi="宋体"/>
        <w:sz w:val="28"/>
        <w:szCs w:val="28"/>
        <w:lang w:val="en-US" w:eastAsia="zh-CN"/>
      </w:rPr>
      <w:t xml:space="preserve">— </w:t>
    </w:r>
    <w:r>
      <w:rPr>
        <w:rFonts w:ascii="宋体" w:hAnsi="宋体"/>
        <w:sz w:val="28"/>
        <w:szCs w:val="28"/>
        <w:lang w:val="en-US" w:eastAsia="zh-CN"/>
      </w:rPr>
      <w:fldChar w:fldCharType="begin"/>
    </w:r>
    <w:r>
      <w:rPr>
        <w:rFonts w:ascii="宋体" w:hAnsi="宋体"/>
        <w:sz w:val="28"/>
        <w:szCs w:val="28"/>
        <w:lang w:val="en-US" w:eastAsia="zh-CN"/>
      </w:rPr>
      <w:instrText xml:space="preserve"> PAGE   \* MERGEFORMAT </w:instrText>
    </w:r>
    <w:r>
      <w:rPr>
        <w:rFonts w:ascii="宋体" w:hAnsi="宋体"/>
        <w:sz w:val="28"/>
        <w:szCs w:val="28"/>
        <w:lang w:val="en-US" w:eastAsia="zh-CN"/>
      </w:rPr>
      <w:fldChar w:fldCharType="separate"/>
    </w:r>
    <w:r>
      <w:rPr>
        <w:rFonts w:ascii="宋体" w:hAnsi="宋体"/>
        <w:sz w:val="28"/>
        <w:szCs w:val="28"/>
        <w:lang w:val="zh-CN" w:eastAsia="zh-CN"/>
      </w:rPr>
      <w:t>2</w:t>
    </w:r>
    <w:r>
      <w:rPr>
        <w:rFonts w:ascii="宋体" w:hAnsi="宋体"/>
        <w:sz w:val="28"/>
        <w:szCs w:val="28"/>
        <w:lang w:val="en-US" w:eastAsia="zh-CN"/>
      </w:rPr>
      <w:fldChar w:fldCharType="end"/>
    </w:r>
    <w:r>
      <w:rPr>
        <w:rFonts w:hint="eastAsia" w:ascii="宋体" w:hAnsi="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lang w:val="en-US" w:eastAsia="zh-CN"/>
      </w:rPr>
    </w:pPr>
    <w:r>
      <w:rPr>
        <w:lang w:val="en-US" w:eastAsia="zh-CN"/>
      </w:rPr>
      <w:pict>
        <v:shape id="PowerPlusWaterMarkObject1028" o:spid="_x0000_s2049" o:spt="136" type="#_x0000_t136" style="position:absolute;left:0pt;height:66.9pt;width:468.3pt;mso-position-horizontal:center;mso-position-horizontal-relative:margin;mso-position-vertical:center;mso-position-vertical-relative:margin;rotation:20643840f;z-index:-251657216;mso-width-relative:page;mso-height-relative:page;" fillcolor="#393000" filled="t" stroked="f" coordsize="21600,21600" o:allowincell="f">
          <v:path/>
          <v:fill on="t" opacity="32768f" focussize="0,0"/>
          <v:stroke on="f"/>
          <v:imagedata o:title=""/>
          <o:lock v:ext="edit"/>
          <v:textpath on="t" fitshape="t" fitpath="t" trim="f" xscale="f" string="广西交通运输厅" style="font-family:宋体;font-size:8pt;v-text-align:center;"/>
        </v:shape>
      </w:pic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仿宋_GB2312" w:eastAsia="仿宋_GB2312"/>
        <w:sz w:val="36"/>
        <w:szCs w:val="36"/>
        <w:lang w:val="en-US" w:eastAsia="zh-CN"/>
      </w:rPr>
    </w:pPr>
    <w:r>
      <w:rPr>
        <w:rFonts w:hint="eastAsia" w:ascii="仿宋_GB2312" w:eastAsia="仿宋_GB2312"/>
        <w:sz w:val="36"/>
        <w:szCs w:val="3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F96D9"/>
    <w:multiLevelType w:val="singleLevel"/>
    <w:tmpl w:val="DBBF96D9"/>
    <w:lvl w:ilvl="0" w:tentative="0">
      <w:start w:val="1"/>
      <w:numFmt w:val="chineseCounting"/>
      <w:suff w:val="nothing"/>
      <w:lvlText w:val="（%1）"/>
      <w:lvlJc w:val="left"/>
      <w:rPr>
        <w:rFonts w:hint="eastAsia"/>
      </w:rPr>
    </w:lvl>
  </w:abstractNum>
  <w:abstractNum w:abstractNumId="1">
    <w:nsid w:val="F07FEB8E"/>
    <w:multiLevelType w:val="singleLevel"/>
    <w:tmpl w:val="F07FEB8E"/>
    <w:lvl w:ilvl="0" w:tentative="0">
      <w:start w:val="1"/>
      <w:numFmt w:val="chineseCounting"/>
      <w:suff w:val="nothing"/>
      <w:lvlText w:val="（%1）"/>
      <w:lvlJc w:val="left"/>
      <w:rPr>
        <w:rFonts w:hint="eastAsia"/>
      </w:rPr>
    </w:lvl>
  </w:abstractNum>
  <w:abstractNum w:abstractNumId="2">
    <w:nsid w:val="F56E5A5E"/>
    <w:multiLevelType w:val="singleLevel"/>
    <w:tmpl w:val="F56E5A5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12"/>
    <w:rsid w:val="227E8965"/>
    <w:rsid w:val="22FBE825"/>
    <w:rsid w:val="2FC7B05C"/>
    <w:rsid w:val="34FFB824"/>
    <w:rsid w:val="37FDE58F"/>
    <w:rsid w:val="3BFB14E9"/>
    <w:rsid w:val="3BFE16B2"/>
    <w:rsid w:val="3F1FAE63"/>
    <w:rsid w:val="3F76ED36"/>
    <w:rsid w:val="51B73BA4"/>
    <w:rsid w:val="56F971D7"/>
    <w:rsid w:val="57FA9249"/>
    <w:rsid w:val="5BF5E132"/>
    <w:rsid w:val="5DF48837"/>
    <w:rsid w:val="5EE916DD"/>
    <w:rsid w:val="5EFA7CCD"/>
    <w:rsid w:val="5F5FB368"/>
    <w:rsid w:val="5FAF79B4"/>
    <w:rsid w:val="5FBB1FF1"/>
    <w:rsid w:val="5FDEE4BC"/>
    <w:rsid w:val="5FEAB087"/>
    <w:rsid w:val="5FFFEB3C"/>
    <w:rsid w:val="65F61148"/>
    <w:rsid w:val="6F77E1C8"/>
    <w:rsid w:val="756FEE35"/>
    <w:rsid w:val="76BA606F"/>
    <w:rsid w:val="77FE0FB4"/>
    <w:rsid w:val="7C8F461C"/>
    <w:rsid w:val="7D8E0E40"/>
    <w:rsid w:val="7DF74A91"/>
    <w:rsid w:val="7E6FC0BE"/>
    <w:rsid w:val="7EBF12A8"/>
    <w:rsid w:val="7EDEBF1A"/>
    <w:rsid w:val="7EFE87E6"/>
    <w:rsid w:val="7F971935"/>
    <w:rsid w:val="7FD8E526"/>
    <w:rsid w:val="7FDD013D"/>
    <w:rsid w:val="7FEB5778"/>
    <w:rsid w:val="7FFFAE12"/>
    <w:rsid w:val="87EB605C"/>
    <w:rsid w:val="9D4B5CFF"/>
    <w:rsid w:val="9D8F0BBD"/>
    <w:rsid w:val="9EFF73A8"/>
    <w:rsid w:val="9FEDFC6D"/>
    <w:rsid w:val="A3E56023"/>
    <w:rsid w:val="A8EE002D"/>
    <w:rsid w:val="ADEF41CD"/>
    <w:rsid w:val="B7BB9AF2"/>
    <w:rsid w:val="B7F7815A"/>
    <w:rsid w:val="B7FE91D1"/>
    <w:rsid w:val="BA7B23C6"/>
    <w:rsid w:val="BD3D5C11"/>
    <w:rsid w:val="BFA75329"/>
    <w:rsid w:val="BFEFBA6B"/>
    <w:rsid w:val="C4FF1953"/>
    <w:rsid w:val="D7FAFB30"/>
    <w:rsid w:val="DADF7D9E"/>
    <w:rsid w:val="E6F7739A"/>
    <w:rsid w:val="EC2FE540"/>
    <w:rsid w:val="EDEF3FA4"/>
    <w:rsid w:val="EE77A8EA"/>
    <w:rsid w:val="EF6FE465"/>
    <w:rsid w:val="F3EBA1C1"/>
    <w:rsid w:val="F57F9C29"/>
    <w:rsid w:val="F77F8D28"/>
    <w:rsid w:val="F79B874E"/>
    <w:rsid w:val="F8F3B065"/>
    <w:rsid w:val="FB773892"/>
    <w:rsid w:val="FBABFE75"/>
    <w:rsid w:val="FBDFE68D"/>
    <w:rsid w:val="FBEB00F9"/>
    <w:rsid w:val="FBFDFDC5"/>
    <w:rsid w:val="FDFF493D"/>
    <w:rsid w:val="FDFFA792"/>
    <w:rsid w:val="FF69C4C0"/>
    <w:rsid w:val="FF9DDEA5"/>
    <w:rsid w:val="FFB74483"/>
    <w:rsid w:val="FFF1E78E"/>
    <w:rsid w:val="FFF3A046"/>
    <w:rsid w:val="FFFF47DC"/>
    <w:rsid w:val="FFFFA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仿宋_GB2312" w:cs="Times New Roman"/>
      <w:kern w:val="2"/>
      <w:sz w:val="3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tcPr>
      <w:shd w:val="clear" w:color="auto" w:fill="auto"/>
    </w:tcPr>
  </w:style>
  <w:style w:type="paragraph" w:styleId="2">
    <w:name w:val="Normal Indent"/>
    <w:basedOn w:val="1"/>
    <w:next w:val="1"/>
    <w:unhideWhenUsed/>
    <w:qFormat/>
    <w:uiPriority w:val="99"/>
    <w:pPr>
      <w:pBdr>
        <w:top w:val="none" w:color="auto" w:sz="0" w:space="0"/>
        <w:left w:val="none" w:color="auto" w:sz="0" w:space="0"/>
        <w:bottom w:val="none" w:color="auto" w:sz="0" w:space="0"/>
        <w:right w:val="none" w:color="auto" w:sz="0" w:space="0"/>
        <w:between w:val="none" w:color="auto" w:sz="0" w:space="0"/>
      </w:pBdr>
      <w:ind w:firstLine="420" w:firstLineChars="200"/>
      <w:jc w:val="both"/>
    </w:pPr>
    <w:rPr>
      <w:rFonts w:cs="Calibri"/>
      <w:lang w:val="en-US" w:eastAsia="zh-CN"/>
    </w:rPr>
  </w:style>
  <w:style w:type="paragraph" w:styleId="3">
    <w:name w:val="Body Text"/>
    <w:basedOn w:val="1"/>
    <w:next w:val="1"/>
    <w:qFormat/>
    <w:uiPriority w:val="99"/>
    <w:pPr>
      <w:spacing w:after="120"/>
    </w:pPr>
    <w:rPr>
      <w:rFonts w:ascii="Calibri" w:hAnsi="Calibri"/>
      <w:sz w:val="21"/>
      <w:szCs w:val="24"/>
    </w:rPr>
  </w:style>
  <w:style w:type="paragraph" w:styleId="4">
    <w:name w:val="Body Text Indent"/>
    <w:basedOn w:val="1"/>
    <w:unhideWhenUsed/>
    <w:qFormat/>
    <w:uiPriority w:val="99"/>
    <w:pPr>
      <w:spacing w:after="120" w:afterLines="0"/>
      <w:ind w:left="420" w:leftChars="200"/>
    </w:pPr>
  </w:style>
  <w:style w:type="paragraph" w:styleId="5">
    <w:name w:val="footer"/>
    <w:basedOn w:val="1"/>
    <w:link w:val="12"/>
    <w:unhideWhenUsed/>
    <w:qFormat/>
    <w:uiPriority w:val="99"/>
    <w:pPr>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napToGrid w:val="0"/>
      <w:jc w:val="left"/>
    </w:pPr>
    <w:rPr>
      <w:sz w:val="18"/>
      <w:szCs w:val="18"/>
      <w:lang w:val="en-US" w:eastAsia="zh-CN"/>
    </w:rPr>
  </w:style>
  <w:style w:type="paragraph" w:styleId="6">
    <w:name w:val="header"/>
    <w:basedOn w:val="1"/>
    <w:link w:val="13"/>
    <w:unhideWhenUsed/>
    <w:qFormat/>
    <w:uiPriority w:val="99"/>
    <w:pPr>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val="en-US" w:eastAsia="zh-CN"/>
    </w:rPr>
  </w:style>
  <w:style w:type="paragraph" w:styleId="7">
    <w:name w:val="Normal (Web)"/>
    <w:basedOn w:val="1"/>
    <w:unhideWhenUsed/>
    <w:qFormat/>
    <w:uiPriority w:val="99"/>
    <w:pPr>
      <w:widowControl/>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jc w:val="left"/>
    </w:pPr>
    <w:rPr>
      <w:rFonts w:ascii="宋体" w:hAnsi="宋体" w:eastAsia="宋体" w:cs="宋体"/>
      <w:kern w:val="0"/>
      <w:sz w:val="24"/>
      <w:szCs w:val="24"/>
      <w:lang w:val="en-US" w:eastAsia="zh-CN"/>
    </w:rPr>
  </w:style>
  <w:style w:type="paragraph" w:styleId="8">
    <w:name w:val="Body Text First Indent 2"/>
    <w:basedOn w:val="4"/>
    <w:next w:val="3"/>
    <w:unhideWhenUsed/>
    <w:qFormat/>
    <w:uiPriority w:val="99"/>
    <w:pPr>
      <w:ind w:firstLine="420" w:firstLine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5"/>
    <w:semiHidden/>
    <w:qFormat/>
    <w:uiPriority w:val="99"/>
    <w:rPr>
      <w:sz w:val="18"/>
      <w:szCs w:val="18"/>
    </w:rPr>
  </w:style>
  <w:style w:type="character" w:customStyle="1" w:styleId="13">
    <w:name w:val="页眉 Char"/>
    <w:basedOn w:val="11"/>
    <w:link w:val="6"/>
    <w:semiHidden/>
    <w:qFormat/>
    <w:uiPriority w:val="99"/>
    <w:rPr>
      <w:sz w:val="18"/>
      <w:szCs w:val="18"/>
    </w:rPr>
  </w:style>
  <w:style w:type="paragraph" w:styleId="14">
    <w:name w:val="No Spacing"/>
    <w:qFormat/>
    <w:uiPriority w:val="1"/>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2"/>
      <w:lang w:val="en-US" w:eastAsia="zh-CN" w:bidi="ar-SA"/>
    </w:rPr>
  </w:style>
  <w:style w:type="paragraph" w:customStyle="1" w:styleId="1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tmp/&#20844;&#25991;&#20108;&#32500;&#30721;GW1728615175931.png" TargetMode="Externa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Words>
  <Characters>81</Characters>
  <Lines>1</Lines>
  <Paragraphs>1</Paragraphs>
  <TotalTime>9</TotalTime>
  <ScaleCrop>false</ScaleCrop>
  <LinksUpToDate>false</LinksUpToDate>
  <CharactersWithSpaces>94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2021-10-27T23:50:00Z</dcterms:created>
  <dc:creator>NTKO</dc:creator>
  <cp:lastModifiedBy>Administrator</cp:lastModifiedBy>
  <cp:lastPrinted>2024-10-11T08:54:00Z</cp:lastPrinted>
  <dcterms:modified xsi:type="dcterms:W3CDTF">2024-10-24T03:19:18Z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82F3EAD08DBD434684FFAA4E8CDDE7C7</vt:lpwstr>
  </property>
</Properties>
</file>