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E5586">
      <w:pPr>
        <w:adjustRightInd w:val="0"/>
        <w:snapToGrid w:val="0"/>
        <w:spacing w:line="580" w:lineRule="exact"/>
        <w:rPr>
          <w:rFonts w:hint="eastAsia" w:ascii="方正黑体_GBK" w:hAnsi="方正黑体_GBK" w:eastAsia="方正黑体_GBK" w:cs="方正黑体_GBK"/>
          <w:snapToGrid w:val="0"/>
          <w:kern w:val="21"/>
          <w:sz w:val="32"/>
          <w:szCs w:val="32"/>
          <w:lang w:val="en-US" w:eastAsia="zh-CN"/>
        </w:rPr>
      </w:pPr>
      <w:r>
        <w:rPr>
          <w:rFonts w:hint="eastAsia" w:ascii="方正黑体_GBK" w:hAnsi="方正黑体_GBK" w:eastAsia="方正黑体_GBK" w:cs="方正黑体_GBK"/>
          <w:snapToGrid w:val="0"/>
          <w:kern w:val="21"/>
          <w:sz w:val="32"/>
          <w:szCs w:val="32"/>
        </w:rPr>
        <w:t>附件</w:t>
      </w:r>
      <w:r>
        <w:rPr>
          <w:rFonts w:hint="eastAsia" w:ascii="方正黑体_GBK" w:hAnsi="方正黑体_GBK" w:eastAsia="方正黑体_GBK" w:cs="方正黑体_GBK"/>
          <w:snapToGrid w:val="0"/>
          <w:kern w:val="21"/>
          <w:sz w:val="32"/>
          <w:szCs w:val="32"/>
          <w:lang w:val="en-US" w:eastAsia="zh-CN"/>
        </w:rPr>
        <w:t>3</w:t>
      </w:r>
      <w:bookmarkStart w:id="2" w:name="_GoBack"/>
      <w:bookmarkEnd w:id="2"/>
    </w:p>
    <w:p w14:paraId="499EBE08">
      <w:pPr>
        <w:adjustRightInd w:val="0"/>
        <w:snapToGrid w:val="0"/>
        <w:spacing w:line="580" w:lineRule="exact"/>
        <w:ind w:firstLine="640" w:firstLineChars="200"/>
        <w:outlineLvl w:val="2"/>
        <w:rPr>
          <w:rFonts w:hint="eastAsia" w:eastAsia="方正仿宋_GBK" w:cs="方正仿宋_GBK"/>
          <w:snapToGrid w:val="0"/>
          <w:kern w:val="21"/>
          <w:sz w:val="32"/>
          <w:szCs w:val="32"/>
        </w:rPr>
      </w:pPr>
    </w:p>
    <w:p w14:paraId="6DAF056B">
      <w:pPr>
        <w:adjustRightInd w:val="0"/>
        <w:snapToGrid w:val="0"/>
        <w:spacing w:line="580" w:lineRule="exact"/>
        <w:jc w:val="center"/>
        <w:outlineLvl w:val="2"/>
        <w:rPr>
          <w:rFonts w:hint="eastAsia" w:ascii="方正小标宋_GBK" w:hAnsi="方正小标宋_GBK" w:eastAsia="方正小标宋_GBK" w:cs="方正小标宋_GBK"/>
          <w:snapToGrid w:val="0"/>
          <w:kern w:val="21"/>
          <w:sz w:val="44"/>
          <w:szCs w:val="44"/>
        </w:rPr>
      </w:pPr>
      <w:bookmarkStart w:id="0" w:name="OLE_LINK2"/>
      <w:bookmarkStart w:id="1" w:name="OLE_LINK1"/>
      <w:r>
        <w:rPr>
          <w:rFonts w:hint="eastAsia" w:ascii="方正小标宋_GBK" w:hAnsi="方正小标宋_GBK" w:eastAsia="方正小标宋_GBK" w:cs="方正小标宋_GBK"/>
          <w:snapToGrid w:val="0"/>
          <w:kern w:val="21"/>
          <w:sz w:val="44"/>
          <w:szCs w:val="44"/>
        </w:rPr>
        <w:t>社会组织年检审查标准</w:t>
      </w:r>
    </w:p>
    <w:bookmarkEnd w:id="0"/>
    <w:bookmarkEnd w:id="1"/>
    <w:p w14:paraId="3927986B">
      <w:pPr>
        <w:adjustRightInd w:val="0"/>
        <w:snapToGrid w:val="0"/>
        <w:spacing w:line="580" w:lineRule="exact"/>
        <w:ind w:firstLine="643" w:firstLineChars="200"/>
        <w:rPr>
          <w:rFonts w:hint="eastAsia" w:eastAsia="方正仿宋_GBK" w:cs="方正仿宋_GBK"/>
          <w:b/>
          <w:bCs/>
          <w:snapToGrid w:val="0"/>
          <w:kern w:val="21"/>
          <w:sz w:val="32"/>
          <w:szCs w:val="32"/>
        </w:rPr>
      </w:pPr>
    </w:p>
    <w:p w14:paraId="21F7E132">
      <w:pPr>
        <w:adjustRightInd w:val="0"/>
        <w:snapToGrid w:val="0"/>
        <w:spacing w:line="580" w:lineRule="exact"/>
        <w:ind w:firstLine="640" w:firstLineChars="200"/>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一、社会团体年检审查标准</w:t>
      </w:r>
    </w:p>
    <w:p w14:paraId="18B23FAD">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年检结论分为“合格”“基本合格”和“不合格”。</w:t>
      </w:r>
    </w:p>
    <w:p w14:paraId="0FC2A497">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（一）社会团体内部管理规范，严格按照章程进行内部治理和开展活动，未发现存在违反社会团体登记管理有关法规政策规定的行为，年检结论确定为合格。</w:t>
      </w:r>
    </w:p>
    <w:p w14:paraId="3690AC40">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（二）社会团体有下列情形之一的，登记管理机关视情节轻重，分别作出“基本合格”“不合格”的年检结论：</w:t>
      </w:r>
    </w:p>
    <w:p w14:paraId="0F2136B9">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1.未按规定建立党组织或开展党建工作的；</w:t>
      </w:r>
    </w:p>
    <w:p w14:paraId="520808A3">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2.未将党的建设和社会主义核心价值观写入章程的；</w:t>
      </w:r>
    </w:p>
    <w:p w14:paraId="363CAE91">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3.不符合条例规定的法人成立条件的（如：个人会员和单位会员数量不符合要求、年末净资产低于注册资金、无与业务活动相适应的专职工作人员、无固定住所等）；</w:t>
      </w:r>
    </w:p>
    <w:p w14:paraId="7FB4BEC8">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4.未按规定办理变更登记、章程核准的（如：法定代表人、住所、注册资金、业务活动范围变更等）；</w:t>
      </w:r>
    </w:p>
    <w:p w14:paraId="44818F01">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5.超出章程规定的宗旨和业务范围开展活动的（如：违反规定开展评比达标表彰或创建示范活动、牵头成立非法社会组织或者与非法社会组织开展活动等）；</w:t>
      </w:r>
    </w:p>
    <w:p w14:paraId="6FDC36F7">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6.未按章程规定换届的（如：超期未换届，未经批准提前、延期换届等）；</w:t>
      </w:r>
    </w:p>
    <w:p w14:paraId="3208724F">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7.未按章程规定召开会员（代表）大会、理事会的；</w:t>
      </w:r>
    </w:p>
    <w:p w14:paraId="6EC926A3">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8.负责人管理违反有关规定的（如：负责人调整未完成备案、未经批准负责人超龄超届任职、负责人不符合相关任职条件等）；</w:t>
      </w:r>
    </w:p>
    <w:p w14:paraId="6EFB8919">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9.设立或者管理分支机构、代表机构违反有关规定的；</w:t>
      </w:r>
    </w:p>
    <w:p w14:paraId="32D6F0F2">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10.财务管理或者资金来源、资产使用违反有关规定的（如：违反社会组织管理规定收取费用、未使用民间非营利组织会计制度、未按规定制定修改会费标准等）；</w:t>
      </w:r>
    </w:p>
    <w:p w14:paraId="67B8C210">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11.因内部管理混乱以致不能正常开展活动，或者开展活动造成不良社会影响的；</w:t>
      </w:r>
    </w:p>
    <w:p w14:paraId="40C4D74D">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12.其他违反社会团体登记管理有关法律法规和国家政策规定的（如：不按规定接受或配合登记管理机关监督检查、未按规定完成整改等）。</w:t>
      </w:r>
    </w:p>
    <w:p w14:paraId="3B2DACBB">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（三）社会团体存在下列情形之一的，年检结论确定为“不合格”：</w:t>
      </w:r>
    </w:p>
    <w:p w14:paraId="4EFE01E4">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1.年检材料隐瞒真实情况、弄虚作假的（如：未通过</w:t>
      </w:r>
      <w:r>
        <w:rPr>
          <w:rFonts w:hint="eastAsia" w:eastAsia="方正仿宋_GBK" w:cs="方正仿宋_GBK"/>
          <w:kern w:val="21"/>
          <w:sz w:val="32"/>
          <w:szCs w:val="32"/>
        </w:rPr>
        <w:t>“网上年检系统”打印提交</w:t>
      </w:r>
      <w:r>
        <w:rPr>
          <w:rFonts w:hint="eastAsia" w:eastAsia="方正仿宋_GBK" w:cs="方正仿宋_GBK"/>
          <w:snapToGrid w:val="0"/>
          <w:kern w:val="21"/>
          <w:sz w:val="32"/>
          <w:szCs w:val="32"/>
        </w:rPr>
        <w:t>《2025年度检查报告书》，《2025年度检查报告书》内容与实际不符等）；</w:t>
      </w:r>
    </w:p>
    <w:p w14:paraId="3EFB19D7">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2.上年度未开展任何业务活动的；</w:t>
      </w:r>
    </w:p>
    <w:p w14:paraId="311B416B">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3.违背非营利宗旨开展活动的；</w:t>
      </w:r>
    </w:p>
    <w:p w14:paraId="7CAFF341">
      <w:pPr>
        <w:adjustRightInd w:val="0"/>
        <w:snapToGrid w:val="0"/>
        <w:spacing w:line="55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4.开展活动危害国家安全的。</w:t>
      </w:r>
    </w:p>
    <w:p w14:paraId="28481BD0">
      <w:pPr>
        <w:adjustRightInd w:val="0"/>
        <w:snapToGrid w:val="0"/>
        <w:spacing w:line="550" w:lineRule="exact"/>
        <w:ind w:firstLine="640" w:firstLineChars="200"/>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二、民办非企业单位年检审查标准</w:t>
      </w:r>
    </w:p>
    <w:p w14:paraId="1D27B76F">
      <w:pPr>
        <w:adjustRightInd w:val="0"/>
        <w:snapToGrid w:val="0"/>
        <w:spacing w:line="580" w:lineRule="exact"/>
        <w:ind w:firstLine="596" w:firstLineChars="200"/>
        <w:rPr>
          <w:rFonts w:hint="eastAsia" w:eastAsia="方正仿宋_GBK" w:cs="方正仿宋_GBK"/>
          <w:snapToGrid w:val="0"/>
          <w:spacing w:val="-11"/>
          <w:kern w:val="21"/>
          <w:sz w:val="32"/>
          <w:szCs w:val="32"/>
        </w:rPr>
      </w:pPr>
      <w:r>
        <w:rPr>
          <w:rFonts w:hint="eastAsia" w:eastAsia="方正仿宋_GBK" w:cs="方正仿宋_GBK"/>
          <w:snapToGrid w:val="0"/>
          <w:spacing w:val="-11"/>
          <w:kern w:val="21"/>
          <w:sz w:val="32"/>
          <w:szCs w:val="32"/>
        </w:rPr>
        <w:t>民办非企业单位年检结论分为“合格”“基本合格”和“不合格”。</w:t>
      </w:r>
    </w:p>
    <w:p w14:paraId="1FCEE950">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（一）民办非企业单位内部管理规范，严格按照章程进行内部治理和开展活动，未发现存在违反民办非企业单位登记管理有关法规政策规定的行为，年检结论确定为“合格”。</w:t>
      </w:r>
    </w:p>
    <w:p w14:paraId="27B11EE8">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（二）发现民办非企业单位在2025年度存在下列情形，情节较轻的，年检结论确定为“基本合格”；情节严重、影响恶劣的，年检结论确定为“不合格”：</w:t>
      </w:r>
    </w:p>
    <w:p w14:paraId="7BBC633D">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1.应建未建党组织的；</w:t>
      </w:r>
    </w:p>
    <w:p w14:paraId="1B254DCE">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2.未按要求将党的建设和社会主义核心价值观写入章程的；</w:t>
      </w:r>
    </w:p>
    <w:p w14:paraId="2B9C0367">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3.不具备法律规定民办非企业单位法人基本条件的，包括没有与其业务活动相适应的从业人员、年末净资产为负数等情形；</w:t>
      </w:r>
    </w:p>
    <w:p w14:paraId="1E740FEC">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4.未遵守非营利活动准则的；</w:t>
      </w:r>
    </w:p>
    <w:p w14:paraId="7A19EE95">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5.违反规定使用登记证书、印章或者财务凭证的；</w:t>
      </w:r>
    </w:p>
    <w:p w14:paraId="102A47FB">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6.未开展业务活动的；</w:t>
      </w:r>
    </w:p>
    <w:p w14:paraId="39B5978C">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7.不按照章程规定进行活动的，包括超出章程规定的宗旨和业务范围开展活动、未按照章程规定召开理事会或未按期进行理事、监事换届等情形；</w:t>
      </w:r>
    </w:p>
    <w:p w14:paraId="6055FBE9">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8.无固定住所或必要活动场所的；</w:t>
      </w:r>
    </w:p>
    <w:p w14:paraId="30DCF4E8">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9.内部管理混乱，不能正常开展活动的；</w:t>
      </w:r>
    </w:p>
    <w:p w14:paraId="57E29282">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10.拒不接受或者不按照规定接受登记管理机关监督检查或年检的；</w:t>
      </w:r>
    </w:p>
    <w:p w14:paraId="2D480F4E">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11.不按照规定办理变更登记，修改章程未按规定核准备案的；</w:t>
      </w:r>
    </w:p>
    <w:p w14:paraId="53AF5071">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12.设立分支机构的；</w:t>
      </w:r>
    </w:p>
    <w:p w14:paraId="75350EAB">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13.财务制度不健全，资金来源和使用违反有关规定的；</w:t>
      </w:r>
    </w:p>
    <w:p w14:paraId="56ED4AD6">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14.净资产低于国家有关行业主管部门规定的最低标准的；</w:t>
      </w:r>
    </w:p>
    <w:p w14:paraId="255D03BB">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15.侵占、私分、挪用民办非企业单位的资产或者所接受的捐赠、资助的；</w:t>
      </w:r>
    </w:p>
    <w:p w14:paraId="0B4943AD">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16.违反国家有关规定收取费用、筹集资金或者接受使用捐赠、资助的；</w:t>
      </w:r>
    </w:p>
    <w:p w14:paraId="69A5FE8F">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17.年检中隐瞒真实情况，弄虚作假的；</w:t>
      </w:r>
    </w:p>
    <w:p w14:paraId="59B76248">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18.未按时报送符合要求的年检材料，或者未按照登记管理机关要求对问题进行整改的；</w:t>
      </w:r>
    </w:p>
    <w:p w14:paraId="73BBC3A8">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19.负责人未经登记管理机关批准超龄、超届任职的，或者未按照规定办理负责人备案的；</w:t>
      </w:r>
    </w:p>
    <w:p w14:paraId="2E959CDD">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20.其他违反国家法律法规政策规定和民办非企业单位章程行为的。</w:t>
      </w:r>
    </w:p>
    <w:p w14:paraId="0DEE2B15">
      <w:pPr>
        <w:adjustRightInd w:val="0"/>
        <w:snapToGrid w:val="0"/>
        <w:spacing w:line="580" w:lineRule="exact"/>
        <w:ind w:firstLine="640" w:firstLineChars="200"/>
        <w:rPr>
          <w:rFonts w:hint="eastAsia" w:eastAsia="方正仿宋_GBK" w:cs="方正仿宋_GBK"/>
          <w:snapToGrid w:val="0"/>
          <w:kern w:val="21"/>
          <w:sz w:val="32"/>
          <w:szCs w:val="32"/>
        </w:rPr>
      </w:pPr>
      <w:r>
        <w:rPr>
          <w:rFonts w:hint="eastAsia" w:eastAsia="方正仿宋_GBK" w:cs="方正仿宋_GBK"/>
          <w:snapToGrid w:val="0"/>
          <w:kern w:val="21"/>
          <w:sz w:val="32"/>
          <w:szCs w:val="32"/>
        </w:rPr>
        <w:t>民办非企业单位在提交年检材料前，对存在的违规事项已经自查自纠、主动先行整改或经业务主管单位来函说明存在的问题确有特殊情况的，年检时可视情从轻或免予处理。</w:t>
      </w:r>
    </w:p>
    <w:p w14:paraId="0951D26B">
      <w:pPr>
        <w:adjustRightInd w:val="0"/>
        <w:snapToGrid w:val="0"/>
        <w:spacing w:line="580" w:lineRule="exact"/>
        <w:ind w:firstLine="640" w:firstLineChars="200"/>
        <w:rPr>
          <w:rFonts w:eastAsia="方正仿宋_GBK" w:cs="方正仿宋_GBK"/>
          <w:snapToGrid w:val="0"/>
          <w:kern w:val="21"/>
          <w:sz w:val="32"/>
          <w:szCs w:val="32"/>
        </w:rPr>
      </w:pPr>
      <w:r>
        <w:rPr>
          <w:rFonts w:hint="eastAsia" w:eastAsia="方正仿宋_GBK" w:cs="方正仿宋_GBK"/>
          <w:snapToGrid w:val="0"/>
          <w:kern w:val="21"/>
          <w:sz w:val="32"/>
          <w:szCs w:val="32"/>
        </w:rPr>
        <w:t>（三）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sectPr>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10C1"/>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31EB"/>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 w:val="09471C30"/>
    <w:rsid w:val="6E0F2BF0"/>
    <w:rsid w:val="7C0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2449781-473c-4966-951c-ad078e2aa5d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1786</Words>
  <Characters>1845</Characters>
  <Lines>13</Lines>
  <Paragraphs>3</Paragraphs>
  <TotalTime>1</TotalTime>
  <ScaleCrop>false</ScaleCrop>
  <LinksUpToDate>false</LinksUpToDate>
  <CharactersWithSpaces>1845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2026-01-20T03:05:00Z</dcterms:created>
  <dc:creator>陈云川</dc:creator>
  <cp:lastModifiedBy>晨</cp:lastModifiedBy>
  <dcterms:modified xsi:type="dcterms:W3CDTF">2026-01-30T00:25:12Z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eyJoZGlkIjoiNzQ1ZTUwMTliYzRmMWVkMWExMjZjMTkzM2U1MjkzYjUiLCJ1c2VySWQiOiI4ODcwMDQ1MTEifQ==</vt:lpwstr>
  </property>
  <property fmtid="{D5CDD505-2E9C-101B-9397-08002B2CF9AE}" pid="3" name="KSOProductBuildVer">
    <vt:lpwstr>2052-12.1.0.24655</vt:lpwstr>
  </property>
  <property fmtid="{D5CDD505-2E9C-101B-9397-08002B2CF9AE}" pid="4" name="ICV">
    <vt:lpwstr>2D4C32AFFF4449838198E563AB9EFBEB_13</vt:lpwstr>
  </property>
</Properties>
</file>