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桂林市自然资源局雁山分局2021年</w:t>
      </w:r>
    </w:p>
    <w:p>
      <w:pPr>
        <w:keepNext w:val="0"/>
        <w:keepLines w:val="0"/>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部门预算</w:t>
      </w:r>
      <w:r>
        <w:rPr>
          <w:rFonts w:hint="eastAsia" w:ascii="方正小标宋_GBK" w:hAnsi="方正小标宋_GBK" w:eastAsia="方正小标宋_GBK" w:cs="方正小标宋_GBK"/>
          <w:sz w:val="44"/>
          <w:szCs w:val="44"/>
          <w:lang w:val="en-US" w:eastAsia="zh-CN"/>
        </w:rPr>
        <w:t>公开报告</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目录</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第一部分：部门概况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一、主要职能</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第二部分：</w:t>
      </w:r>
      <w:r>
        <w:rPr>
          <w:rFonts w:hint="eastAsia" w:ascii="方正仿宋_GBK" w:hAnsi="方正仿宋_GBK" w:eastAsia="方正仿宋_GBK" w:cs="方正仿宋_GBK"/>
          <w:b/>
          <w:color w:val="auto"/>
          <w:sz w:val="32"/>
          <w:szCs w:val="32"/>
        </w:rPr>
        <w:t>桂林市自然资源局雁山分局</w:t>
      </w:r>
      <w:r>
        <w:rPr>
          <w:rFonts w:hint="eastAsia" w:ascii="方正仿宋_GBK" w:hAnsi="方正仿宋_GBK" w:eastAsia="方正仿宋_GBK" w:cs="方正仿宋_GBK"/>
          <w:b/>
          <w:bCs/>
          <w:color w:val="auto"/>
          <w:sz w:val="32"/>
          <w:szCs w:val="32"/>
          <w:shd w:val="clear" w:color="auto" w:fill="FFFFFF"/>
        </w:rPr>
        <w:t>2021年部门预算报表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一、部门收支总表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二、部门收入总表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三、部门支出总表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四、财政拨款收支总表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五、一般公共预算支出表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六、一般公共预算基本支出表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七、一般公共预算“三公”经费支出表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八、政府性基金预算支出表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第三部分：</w:t>
      </w:r>
      <w:r>
        <w:rPr>
          <w:rFonts w:hint="eastAsia" w:ascii="方正仿宋_GBK" w:hAnsi="方正仿宋_GBK" w:eastAsia="方正仿宋_GBK" w:cs="方正仿宋_GBK"/>
          <w:b/>
          <w:color w:val="auto"/>
          <w:sz w:val="32"/>
          <w:szCs w:val="32"/>
        </w:rPr>
        <w:t>桂林市自然资源局雁山分局</w:t>
      </w:r>
      <w:r>
        <w:rPr>
          <w:rFonts w:hint="eastAsia" w:ascii="方正仿宋_GBK" w:hAnsi="方正仿宋_GBK" w:eastAsia="方正仿宋_GBK" w:cs="方正仿宋_GBK"/>
          <w:b/>
          <w:bCs/>
          <w:color w:val="auto"/>
          <w:sz w:val="32"/>
          <w:szCs w:val="32"/>
          <w:shd w:val="clear" w:color="auto" w:fill="FFFFFF"/>
        </w:rPr>
        <w:t>2021年部门预算情况说明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第四部分：名词解释</w:t>
      </w: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color w:val="auto"/>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第一部分：部门概况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一、主要职能</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（一）土地部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土地部下设两个组，分工不分家：规划和耕地保护组、土地报批和利用管理组。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规划和耕地保护组负责协助做好辖区国土资源总体规划工作，依法依程序组织土地利用总体规划的编制和调整；协助做好辖区土地整治及土地开垦复垦工作。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土地报批和利用管理组协助做好集体土地的征收征用和农用地转用报批工作；负责国有建设用地、集体建设用地相关业务的审核；按权限负责国有土地个人用地和临时用地的审核工作；负责辖区土地市场动态监测监管，配合执法大队清理和依法处置本辖区内闲置土地。</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（二）矿产和测绘管理部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负责辖区内的矿产开发、矿产勘查、储量管理、地质环境管理的审核工作；负责辖区内的基础测绘管理、测绘市场的监管、测绘成果的管理及应用工作。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（三）不动产登记中心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负责承办城区不动产登记窗口咨询、答疑、收件、收费、发证及发证档案管理等工作；负责辖区新建小区物业验收初审和业主委员会备案。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（四）执法监察大队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辖区内国土资源法律法规执行情况的监督检查；受理国土资源、测绘违法行为的检举、控告和督办、交办以及受理的信访事件；负责查处国土资源、测绘违法案件；负责违法案件法律文书的制作、送达、执行、移送等工作；配合国土资源违法案件的听证、行政复议、行政诉讼、行政处罚和强制执行等工作；指导乡国土规建环保安监站依法开展国土资源执法监察工作；组织开展国土资源执法监察巡回检查工作；负责清理调查和依法处置本辖区内闲置土地；负责调处辖区内的土地权属纠纷和辖区内的年度土地变更内外业调查工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（五）土地储备分中心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制定辖区年度土地储备、出让和资金使用计划;负责协调发改、规划等部门，申领辖区拟出让宗地规划条件；根据土地储备计划，负责对辖区内存量土地和新增储备进行征收、收储。具体做好辖区企业土地收购、置换、征收工作；负责土地权属核查；对征用、收购、收储土地成本费用（含新增土地成本综合包干价）进行初审；拟定土地收购、征收方案、拟定土地收储协议并报审；拟定储备土地前期开发工程招投标方案并报审；负责完成新增储备土地责任状工作，对历年已报批未实施项目地块进行梳理，定期将各城区责任状完成情况及梳理工作进展情况报市土地储备中心汇总；负责草拟辖区地块出让方案（含公益性土地划拨方案）并报审；负责跟踪城区政府与竞得人完成已成交地块土地交付协议的签订，并对土地成交价款进行催收。负责草拟辖区内宗地成本结算报告并报审；定期申报辖区储备土地资金使用计划；对辖区申请拨付的储备土地资金使用情况进行监督；提出对辖区内储备土地管护方案并报审；负责对宗地档案资料进行整理归档；涉及土地储备、出让方面的其他事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（六）规划</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办理建设项目选址意见书，核发建设用地规划许可证、建设工程规划许可证、规划设计条件。配合市空间规划领导小组做好雁山区空间规划前期工作。</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二、机构设置情况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桂林市国土资源局雁山国土资源管理分局是属于派出机构，内设7个部门，办公室、土地部、不动产登记中心、执法大队、</w:t>
      </w:r>
      <w:r>
        <w:rPr>
          <w:rFonts w:hint="eastAsia" w:ascii="方正仿宋_GBK" w:hAnsi="方正仿宋_GBK" w:eastAsia="方正仿宋_GBK" w:cs="方正仿宋_GBK"/>
          <w:bCs/>
          <w:color w:val="auto"/>
          <w:sz w:val="32"/>
          <w:szCs w:val="32"/>
        </w:rPr>
        <w:t>矿产和测绘管理部、土地储备分中心、规划。</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第二部分：</w:t>
      </w:r>
      <w:r>
        <w:rPr>
          <w:rFonts w:hint="eastAsia" w:ascii="方正仿宋_GBK" w:hAnsi="方正仿宋_GBK" w:eastAsia="方正仿宋_GBK" w:cs="方正仿宋_GBK"/>
          <w:b/>
          <w:color w:val="auto"/>
          <w:sz w:val="32"/>
          <w:szCs w:val="32"/>
        </w:rPr>
        <w:t>桂林市自然资源局雁山分局</w:t>
      </w:r>
      <w:r>
        <w:rPr>
          <w:rFonts w:hint="eastAsia" w:ascii="方正仿宋_GBK" w:hAnsi="方正仿宋_GBK" w:eastAsia="方正仿宋_GBK" w:cs="方正仿宋_GBK"/>
          <w:b/>
          <w:bCs/>
          <w:color w:val="auto"/>
          <w:sz w:val="32"/>
          <w:szCs w:val="32"/>
          <w:shd w:val="clear" w:color="auto" w:fill="FFFFFF"/>
        </w:rPr>
        <w:t>2021年部门预算报表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一、部门收支总表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二、部门收入总表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三、部门支出总表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四、财政拨款收支总表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五、一般公共预算支出表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六、一般公共预算基本支出表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七、一般公共预算“三公”经费支出表</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八、政府性基金预算支出表</w:t>
      </w:r>
    </w:p>
    <w:p>
      <w:pPr>
        <w:keepNext w:val="0"/>
        <w:keepLines w:val="0"/>
        <w:pageBreakBefore w:val="0"/>
        <w:tabs>
          <w:tab w:val="left" w:pos="838"/>
        </w:tabs>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以上报表详见附件</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第三部分：桂林市自然资源局雁山分局</w:t>
      </w:r>
      <w:r>
        <w:rPr>
          <w:rFonts w:hint="eastAsia" w:ascii="方正仿宋_GBK" w:hAnsi="方正仿宋_GBK" w:eastAsia="方正仿宋_GBK" w:cs="方正仿宋_GBK"/>
          <w:b/>
          <w:bCs/>
          <w:color w:val="auto"/>
          <w:sz w:val="32"/>
          <w:szCs w:val="32"/>
          <w:shd w:val="clear" w:color="auto" w:fill="FFFFFF"/>
        </w:rPr>
        <w:t>2021</w:t>
      </w:r>
      <w:r>
        <w:rPr>
          <w:rFonts w:hint="eastAsia" w:ascii="方正仿宋_GBK" w:hAnsi="方正仿宋_GBK" w:eastAsia="方正仿宋_GBK" w:cs="方正仿宋_GBK"/>
          <w:b/>
          <w:color w:val="auto"/>
          <w:sz w:val="32"/>
          <w:szCs w:val="32"/>
        </w:rPr>
        <w:t>年部门预算情况说明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2020年财政拨款收入是51.88万元，支出是51.88万元，2021年财政拨款收入是66.2532万元，支出是66.2532万元，收入和支出都比去年收入多14.3732万元。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一、收支预算情况说明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2020年部门收入51.88万元：一般公共预算拨款经费拨款51.88万元。202</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年部门支出51.88万元：自然资源海洋气象等支出51.88万元。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2021年部门收入66.2532万元：一般公共预算拨款经费拨款66.2532万元。2021年部门支出66.2532万元：自然资源海洋气象等支出66.2532万元。收入和支出都比去年多14.3732万元。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二、收入预算情况说明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2020年部门收入52.92万元，其中行政运行（自然资源事务）52.92万元。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2021年部门收入67.5782万元，其中行政运行（自然资源事务）67.5782万元。比去年多14.6582万元。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三、支出预算情况说明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2020年部门支出51.88万元，其中行政运行（自然资源事务）51.88万元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2021年部门支出66.2532万元，其中行政运行（自然资源事务）66.2532万元。比去年多14.3732万元。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四、财政拨款收支预算情况说明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2020年财政拨款收入52.92万元，是一般公共预算拨款，支出52.92万元，是自然资源海洋气象等支出52.92万元。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2021年财政拨款收入67.5782万元，是一般公共预算拨款，支出67.5782万元，是自然资源海洋气象等支出67.5782万元。比去年多14.6582万元。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五、一般公共预算支出情况说明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2020年一般公共预算支出51.88万元，按功能分类科目分是行政运行（自然资源事务）51.88万元。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2021年一般公共预算支出66.2532万元，按功能分类科目分是行政运行（自然资源事务）66.2532万元。比去年多14.3732万元。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六、一般公共预算基本支出情况说明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2020年一般公共预算基本支出是51.88万元，按经济分类科目分类为其他工资福利支出51.88万元。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2021年一般公共预算基本支出是66.2532万元，按经济分类科目分类为其他工资福利支出66.2532万元。比去年多14.3732万元。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七、一般公共预算“三公”经费情况说明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“三公”经费预算我部门无此项经费预算。</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八、政府性基金预算情况说明。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政府性基金预算我部门无此项经费预算。</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九、其他重要事项情况说明</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（一）机关运行经费安排情况说明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无机关运行经费安排。</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（二）政府采购预算安排情况说明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无政府采购预算安排。</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（三）无国有资产占有情况说明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无国有资产占有。</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（四）无重点项目预算绩效目标情况说明</w:t>
      </w:r>
    </w:p>
    <w:p>
      <w:pPr>
        <w:keepNext w:val="0"/>
        <w:keepLines w:val="0"/>
        <w:pageBreakBefore w:val="0"/>
        <w:tabs>
          <w:tab w:val="center" w:pos="4475"/>
        </w:tabs>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无重点项目预算绩效目标。</w:t>
      </w:r>
    </w:p>
    <w:p>
      <w:pPr>
        <w:keepNext w:val="0"/>
        <w:keepLines w:val="0"/>
        <w:pageBreakBefore w:val="0"/>
        <w:tabs>
          <w:tab w:val="center" w:pos="4475"/>
        </w:tabs>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第四部分：名词解释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一、基本支出：指为保障机构正常运转、完成日常</w:t>
      </w:r>
      <w:bookmarkStart w:id="0" w:name="_GoBack"/>
      <w:bookmarkEnd w:id="0"/>
      <w:r>
        <w:rPr>
          <w:rFonts w:hint="eastAsia" w:ascii="方正仿宋_GBK" w:hAnsi="方正仿宋_GBK" w:eastAsia="方正仿宋_GBK" w:cs="方正仿宋_GBK"/>
          <w:color w:val="auto"/>
          <w:sz w:val="32"/>
          <w:szCs w:val="32"/>
        </w:rPr>
        <w:t>工作任务而发生的人员支出和公用支出。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4C"/>
    <w:rsid w:val="001C4EDC"/>
    <w:rsid w:val="00244B23"/>
    <w:rsid w:val="003E10A9"/>
    <w:rsid w:val="00562A53"/>
    <w:rsid w:val="005B563A"/>
    <w:rsid w:val="00824B94"/>
    <w:rsid w:val="00943C63"/>
    <w:rsid w:val="00A46F4C"/>
    <w:rsid w:val="00C2276C"/>
    <w:rsid w:val="00C37F64"/>
    <w:rsid w:val="00CF0568"/>
    <w:rsid w:val="00D76756"/>
    <w:rsid w:val="6E595613"/>
    <w:rsid w:val="7219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6"/>
    <w:link w:val="4"/>
    <w:uiPriority w:val="0"/>
    <w:rPr>
      <w:rFonts w:ascii="Times New Roman" w:hAnsi="Times New Roman" w:eastAsia="宋体" w:cs="Times New Roman"/>
      <w:sz w:val="18"/>
      <w:szCs w:val="18"/>
    </w:rPr>
  </w:style>
  <w:style w:type="character" w:customStyle="1" w:styleId="9">
    <w:name w:val="页脚 字符"/>
    <w:basedOn w:val="6"/>
    <w:link w:val="3"/>
    <w:uiPriority w:val="0"/>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482</Words>
  <Characters>2751</Characters>
  <Lines>22</Lines>
  <Paragraphs>6</Paragraphs>
  <TotalTime>232</TotalTime>
  <ScaleCrop>false</ScaleCrop>
  <LinksUpToDate>false</LinksUpToDate>
  <CharactersWithSpaces>3227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2021-02-26T02:53:00Z</dcterms:created>
  <dc:creator>Administrator</dc:creator>
  <cp:lastModifiedBy>DELL1</cp:lastModifiedBy>
  <cp:lastPrinted>2021-02-26T03:32:00Z</cp:lastPrinted>
  <dcterms:modified xsi:type="dcterms:W3CDTF">2021-03-04T02:42:51Z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