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eastAsia="zh-CN"/>
        </w:rPr>
        <w:t>司法所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第一部分：部门概况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司法所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司法所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部分：部门概况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主要职能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贯彻执行有关司法行政工作的方针、政策和法律、法规及规章。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仿宋_GB2312" w:cs="仿宋_GB2312"/>
          <w:szCs w:val="32"/>
          <w:lang w:bidi="ar"/>
        </w:rPr>
        <w:t>承办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人民政府法律事务工作。负责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人民政府法律顾问工作，管理政府公职律师</w:t>
      </w:r>
      <w:r>
        <w:rPr>
          <w:rFonts w:hint="eastAsia" w:ascii="仿宋_GB2312" w:hAnsi="仿宋_GB2312" w:cs="仿宋_GB2312"/>
          <w:szCs w:val="32"/>
          <w:lang w:eastAsia="zh-CN" w:bidi="ar"/>
        </w:rPr>
        <w:t>、</w:t>
      </w:r>
      <w:r>
        <w:rPr>
          <w:rFonts w:hint="eastAsia" w:ascii="仿宋_GB2312" w:hAnsi="仿宋_GB2312" w:cs="仿宋_GB2312"/>
          <w:szCs w:val="32"/>
          <w:lang w:bidi="ar"/>
        </w:rPr>
        <w:t>办公室业务。对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人民政府的重大行政决策、具体行政行为以及签订的合同协议草案进行合法性审查和论证，提出法律建议。承办国家、自治区、市有关法律、法规和规章草案征求意见工作。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负责对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人民政府拟出台的规范性文件以及需要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人民政府批准的规范性文件的合法性审查，承办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人民政府规范性文件的备案上报工作。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承担统筹推进法治政府建设的责任。负责综合协调行政执法和行政调解工作，承担推进行政执法体制改革有关工作，推进严格规范公正文明执法。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（</w:t>
      </w:r>
      <w:r>
        <w:rPr>
          <w:rFonts w:hint="eastAsia" w:ascii="仿宋_GB2312" w:hAnsi="仿宋_GB2312" w:cs="仿宋_GB2312"/>
          <w:szCs w:val="32"/>
          <w:lang w:eastAsia="zh-CN" w:bidi="ar"/>
        </w:rPr>
        <w:t>五</w:t>
      </w:r>
      <w:r>
        <w:rPr>
          <w:rFonts w:hint="eastAsia" w:ascii="仿宋_GB2312" w:hAnsi="仿宋_GB2312" w:cs="仿宋_GB2312"/>
          <w:szCs w:val="32"/>
          <w:lang w:bidi="ar"/>
        </w:rPr>
        <w:t>）承担统筹规划全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法治社会建设的责任。负责拟订法治宣传教育规划并组织实施。指导实施普法宣传工作，督导普法责任制的落实，推动人民参与和促进法治建设。指导依法治理和法治创建工作。负责调解工作和人民陪审员、人民监督员选任管理工作，推进司法所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（</w:t>
      </w:r>
      <w:r>
        <w:rPr>
          <w:rFonts w:hint="eastAsia" w:ascii="仿宋_GB2312" w:hAnsi="仿宋_GB2312" w:cs="仿宋_GB2312"/>
          <w:szCs w:val="32"/>
          <w:lang w:eastAsia="zh-CN" w:bidi="ar"/>
        </w:rPr>
        <w:t>六</w:t>
      </w:r>
      <w:r>
        <w:rPr>
          <w:rFonts w:hint="eastAsia" w:ascii="仿宋_GB2312" w:hAnsi="仿宋_GB2312" w:cs="仿宋_GB2312"/>
          <w:szCs w:val="32"/>
          <w:lang w:bidi="ar"/>
        </w:rPr>
        <w:t>）指导、管理社区矫正工作。指导刑满释放人员帮教安置工作。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（</w:t>
      </w:r>
      <w:r>
        <w:rPr>
          <w:rFonts w:hint="eastAsia" w:ascii="仿宋_GB2312" w:hAnsi="仿宋_GB2312" w:cs="仿宋_GB2312"/>
          <w:szCs w:val="32"/>
          <w:lang w:eastAsia="zh-CN" w:bidi="ar"/>
        </w:rPr>
        <w:t>七</w:t>
      </w:r>
      <w:r>
        <w:rPr>
          <w:rFonts w:hint="eastAsia" w:ascii="仿宋_GB2312" w:hAnsi="仿宋_GB2312" w:cs="仿宋_GB2312"/>
          <w:szCs w:val="32"/>
          <w:lang w:bidi="ar"/>
        </w:rPr>
        <w:t>）负责组织协调、督促指导本辖区内土地山林水利权属纠纷调解处理工作。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（</w:t>
      </w:r>
      <w:r>
        <w:rPr>
          <w:rFonts w:hint="eastAsia" w:ascii="仿宋_GB2312" w:hAnsi="仿宋_GB2312" w:cs="仿宋_GB2312"/>
          <w:szCs w:val="32"/>
          <w:lang w:eastAsia="zh-CN" w:bidi="ar"/>
        </w:rPr>
        <w:t>八</w:t>
      </w:r>
      <w:r>
        <w:rPr>
          <w:rFonts w:hint="eastAsia" w:ascii="仿宋_GB2312" w:hAnsi="仿宋_GB2312" w:cs="仿宋_GB2312"/>
          <w:szCs w:val="32"/>
          <w:lang w:bidi="ar"/>
        </w:rPr>
        <w:t>）规划、协调、指导法治人才队伍建设相关工作，指导、监督本系统队伍建设。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（</w:t>
      </w:r>
      <w:r>
        <w:rPr>
          <w:rFonts w:hint="eastAsia" w:ascii="仿宋_GB2312" w:hAnsi="仿宋_GB2312" w:cs="仿宋_GB2312"/>
          <w:szCs w:val="32"/>
          <w:lang w:eastAsia="zh-CN" w:bidi="ar"/>
        </w:rPr>
        <w:t>九</w:t>
      </w:r>
      <w:r>
        <w:rPr>
          <w:rFonts w:hint="eastAsia" w:ascii="仿宋_GB2312" w:hAnsi="仿宋_GB2312" w:cs="仿宋_GB2312"/>
          <w:szCs w:val="32"/>
          <w:lang w:bidi="ar"/>
        </w:rPr>
        <w:t>）完成</w:t>
      </w:r>
      <w:r>
        <w:rPr>
          <w:rFonts w:hint="eastAsia" w:ascii="仿宋_GB2312" w:hAnsi="仿宋_GB2312" w:cs="仿宋_GB2312"/>
          <w:szCs w:val="32"/>
          <w:lang w:eastAsia="zh-CN" w:bidi="ar"/>
        </w:rPr>
        <w:t>乡党</w:t>
      </w:r>
      <w:r>
        <w:rPr>
          <w:rFonts w:hint="eastAsia" w:ascii="仿宋_GB2312" w:hAnsi="仿宋_GB2312" w:cs="仿宋_GB2312"/>
          <w:szCs w:val="32"/>
          <w:lang w:bidi="ar"/>
        </w:rPr>
        <w:t>委、</w:t>
      </w:r>
      <w:r>
        <w:rPr>
          <w:rFonts w:hint="eastAsia" w:ascii="仿宋_GB2312" w:hAnsi="仿宋_GB2312" w:cs="仿宋_GB2312"/>
          <w:szCs w:val="32"/>
          <w:lang w:eastAsia="zh-CN" w:bidi="ar"/>
        </w:rPr>
        <w:t>乡</w:t>
      </w:r>
      <w:r>
        <w:rPr>
          <w:rFonts w:hint="eastAsia" w:ascii="仿宋_GB2312" w:hAnsi="仿宋_GB2312" w:cs="仿宋_GB2312"/>
          <w:szCs w:val="32"/>
          <w:lang w:bidi="ar"/>
        </w:rPr>
        <w:t>政府</w:t>
      </w:r>
      <w:r>
        <w:rPr>
          <w:rFonts w:hint="eastAsia" w:ascii="仿宋_GB2312" w:hAnsi="宋体" w:cs="宋体"/>
          <w:kern w:val="0"/>
          <w:szCs w:val="32"/>
        </w:rPr>
        <w:t>和上级司法机关</w:t>
      </w:r>
      <w:r>
        <w:rPr>
          <w:rFonts w:hint="eastAsia" w:ascii="仿宋_GB2312" w:hAnsi="仿宋_GB2312" w:cs="仿宋_GB2312"/>
          <w:szCs w:val="32"/>
          <w:lang w:bidi="ar"/>
        </w:rPr>
        <w:t>交办的其他任务。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（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十</w:t>
      </w:r>
      <w:r>
        <w:rPr>
          <w:rFonts w:hint="eastAsia" w:ascii="仿宋_GB2312" w:hAnsi="宋体" w:cs="宋体"/>
          <w:kern w:val="0"/>
          <w:szCs w:val="32"/>
        </w:rPr>
        <w:t>）指导和管理司法行政系统党的建设、队伍建设、精神文明建设和思想政治工作。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在职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在编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人，退休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司法所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上述报表详见附件。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大埠乡政府202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eastAsia="zh-CN"/>
        </w:rPr>
        <w:t>一、收支预算情况说明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公共安全支出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18.06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二、收入预算情况说明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公共安全支出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18.06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万元，主要用于司法工资及商品与服务支出。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10.51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三、支出预算情况说明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公共安全支出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18.06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万元，主要用于司法工资及商品与服务支出。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10.51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年收支预算总体情况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公共安全支出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18.06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年一般公共预算支出预算情况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按支出功能分类科目划分，共分为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类，其中：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1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公共安全支出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18.06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万元，主要用于司法工资及商品与服务支出。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sym w:font="Wingdings" w:char="F082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sym w:font="Wingdings" w:char="F08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10.51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公务员医疗补助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万元，主要用于行政单位公务员医疗补助。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一般公共预算基本支出情况说明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</w:t>
      </w:r>
      <w:r>
        <w:rPr>
          <w:rFonts w:hint="eastAsia" w:ascii="仿宋_GB2312" w:hAnsi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26.27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万元，其中工资福利支出安排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22.86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包括基本工资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6.59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万元、津贴补贴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7.51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万元、奖金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万元、机关事业单位基本养老保险缴费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城镇职工基本医疗保险缴费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公务员医疗补助缴费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、其他社会保障缴费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商品和服务支出安排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3.41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商品服务支出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年“三公”经费支出预算情况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因公出国（境）经费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（二）公务接待费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。主要用于行政事业单位各项事务公务接待费。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（三）公务用车费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八、政府性基金预算情况说明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我单位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暂未做政府性基金预算。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九、其他重要事项情况说明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机关运行经费安排情况说明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机关运行经费安排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3.41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政府采购预算安排情况说明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今年预算暂未安排政府采购，如需采购按政府采购流程申请办理。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国有资产占用情况说明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本单位无国有资产占用情况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重点项目预算绩效目标等情况说明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年雁山区财政局预算批复暂未安排项目经费。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一、基本支出：指为保障机构正常运转、完成日常工作任务而发生的人员支出和公用支出。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“三公”经费：纳入自治区财政预决算管理的“三公”经费，是指本级各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机关运行经费：为保障行政单位（包括参照公务员法管理的事业单位）运行用于购买货物和服务的各项资金，包括办公费、印刷费、水费、电费、邮电费、物业管理费、差旅费、维修（护）费、租赁费、会议费、培训费、公务接待费、劳务费、委托业务费、工会经费、福利费、公务用车运行维护费、其他交通费用、税金及附加费用和其他商品和服务支出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BCCBA"/>
    <w:multiLevelType w:val="singleLevel"/>
    <w:tmpl w:val="CF0BC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7C7AAA"/>
    <w:multiLevelType w:val="singleLevel"/>
    <w:tmpl w:val="FC7C7A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865423"/>
    <w:multiLevelType w:val="singleLevel"/>
    <w:tmpl w:val="41865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EAD09D"/>
    <w:multiLevelType w:val="singleLevel"/>
    <w:tmpl w:val="5EEAD09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25FC"/>
    <w:rsid w:val="012A760A"/>
    <w:rsid w:val="12CD29C5"/>
    <w:rsid w:val="17EA0B0C"/>
    <w:rsid w:val="28EF59E4"/>
    <w:rsid w:val="34A26D3A"/>
    <w:rsid w:val="37E779E5"/>
    <w:rsid w:val="3FAD041F"/>
    <w:rsid w:val="408F7F5B"/>
    <w:rsid w:val="4B4234B4"/>
    <w:rsid w:val="541C66AB"/>
    <w:rsid w:val="59AA25FC"/>
    <w:rsid w:val="5D995196"/>
    <w:rsid w:val="600E00C9"/>
    <w:rsid w:val="6615275D"/>
    <w:rsid w:val="6BF27010"/>
    <w:rsid w:val="763836E0"/>
    <w:rsid w:val="79374A08"/>
    <w:rsid w:val="7ADD7E1E"/>
    <w:rsid w:val="7E231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2019-03-12T02:42:00Z</dcterms:created>
  <dc:creator>clover.zyy</dc:creator>
  <cp:lastModifiedBy>clover.zyy</cp:lastModifiedBy>
  <cp:lastPrinted>2020-06-16T08:20:00Z</cp:lastPrinted>
  <dcterms:modified xsi:type="dcterms:W3CDTF">2021-03-12T03:52:42Z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