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821B0">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bookmarkStart w:id="0" w:name="_GoBack"/>
      <w:bookmarkEnd w:id="0"/>
    </w:p>
    <w:p w14:paraId="2BB96A95">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14:paraId="62E6978F">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关于桂林市</w:t>
      </w:r>
      <w:r>
        <w:rPr>
          <w:rFonts w:hint="default" w:ascii="Times New Roman" w:hAnsi="Times New Roman" w:eastAsia="方正小标宋_GBK" w:cs="Times New Roman"/>
          <w:color w:val="auto"/>
          <w:sz w:val="44"/>
          <w:szCs w:val="44"/>
          <w:highlight w:val="none"/>
        </w:rPr>
        <w:t>雁山区202</w:t>
      </w:r>
      <w:r>
        <w:rPr>
          <w:rFonts w:hint="default"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年国民经济和社会发展计划执行情况与202</w:t>
      </w:r>
      <w:r>
        <w:rPr>
          <w:rFonts w:hint="default"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年国民经济和</w:t>
      </w:r>
    </w:p>
    <w:p w14:paraId="55115489">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楷体" w:cs="Times New Roman"/>
          <w:color w:val="auto"/>
          <w:spacing w:val="-20"/>
          <w:sz w:val="32"/>
          <w:szCs w:val="32"/>
          <w:highlight w:val="none"/>
          <w:lang w:val="en-US" w:eastAsia="zh-CN"/>
        </w:rPr>
      </w:pPr>
      <w:r>
        <w:rPr>
          <w:rFonts w:hint="default" w:ascii="Times New Roman" w:hAnsi="Times New Roman" w:eastAsia="方正小标宋_GBK" w:cs="Times New Roman"/>
          <w:color w:val="auto"/>
          <w:sz w:val="44"/>
          <w:szCs w:val="44"/>
          <w:highlight w:val="none"/>
        </w:rPr>
        <w:t>社会发展计划</w:t>
      </w:r>
      <w:r>
        <w:rPr>
          <w:rFonts w:hint="default" w:ascii="Times New Roman" w:hAnsi="Times New Roman" w:eastAsia="方正小标宋_GBK" w:cs="Times New Roman"/>
          <w:color w:val="auto"/>
          <w:sz w:val="44"/>
          <w:szCs w:val="44"/>
          <w:highlight w:val="none"/>
          <w:lang w:eastAsia="zh-CN"/>
        </w:rPr>
        <w:t>（草案）的</w:t>
      </w:r>
      <w:r>
        <w:rPr>
          <w:rFonts w:hint="default" w:ascii="Times New Roman" w:hAnsi="Times New Roman" w:eastAsia="方正小标宋_GBK" w:cs="Times New Roman"/>
          <w:color w:val="auto"/>
          <w:sz w:val="44"/>
          <w:szCs w:val="44"/>
          <w:highlight w:val="none"/>
          <w:lang w:val="en-US" w:eastAsia="zh-CN"/>
        </w:rPr>
        <w:t>报告</w:t>
      </w:r>
    </w:p>
    <w:p w14:paraId="6E24264B">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pacing w:val="-20"/>
          <w:sz w:val="32"/>
          <w:szCs w:val="32"/>
          <w:highlight w:val="none"/>
          <w:lang w:val="en-US" w:eastAsia="zh-CN"/>
        </w:rPr>
        <w:t>——</w:t>
      </w:r>
      <w:r>
        <w:rPr>
          <w:rFonts w:hint="default" w:ascii="Times New Roman" w:hAnsi="Times New Roman" w:eastAsia="楷体_GB2312" w:cs="Times New Roman"/>
          <w:color w:val="auto"/>
          <w:spacing w:val="-6"/>
          <w:sz w:val="32"/>
          <w:szCs w:val="32"/>
          <w:lang w:val="en-US" w:eastAsia="zh-CN"/>
        </w:rPr>
        <w:t>2025</w:t>
      </w:r>
      <w:r>
        <w:rPr>
          <w:rFonts w:hint="default" w:ascii="Times New Roman" w:hAnsi="Times New Roman" w:eastAsia="楷体_GB2312" w:cs="Times New Roman"/>
          <w:color w:val="auto"/>
          <w:spacing w:val="-6"/>
          <w:sz w:val="32"/>
          <w:szCs w:val="32"/>
        </w:rPr>
        <w:t>年</w:t>
      </w:r>
      <w:r>
        <w:rPr>
          <w:rFonts w:hint="default" w:ascii="Times New Roman" w:hAnsi="Times New Roman" w:eastAsia="楷体_GB2312" w:cs="Times New Roman"/>
          <w:color w:val="auto"/>
          <w:spacing w:val="-6"/>
          <w:sz w:val="32"/>
          <w:szCs w:val="32"/>
          <w:lang w:val="en-US" w:eastAsia="zh-CN"/>
        </w:rPr>
        <w:t>2</w:t>
      </w:r>
      <w:r>
        <w:rPr>
          <w:rFonts w:hint="default" w:ascii="Times New Roman" w:hAnsi="Times New Roman" w:eastAsia="楷体_GB2312" w:cs="Times New Roman"/>
          <w:color w:val="auto"/>
          <w:spacing w:val="-6"/>
          <w:sz w:val="32"/>
          <w:szCs w:val="32"/>
        </w:rPr>
        <w:t>月</w:t>
      </w:r>
      <w:r>
        <w:rPr>
          <w:rFonts w:hint="default" w:ascii="Times New Roman" w:hAnsi="Times New Roman" w:eastAsia="楷体_GB2312" w:cs="Times New Roman"/>
          <w:color w:val="auto"/>
          <w:spacing w:val="-6"/>
          <w:sz w:val="32"/>
          <w:szCs w:val="32"/>
          <w:lang w:val="en-US" w:eastAsia="zh-CN"/>
        </w:rPr>
        <w:t>14</w:t>
      </w:r>
      <w:r>
        <w:rPr>
          <w:rFonts w:hint="default" w:ascii="Times New Roman" w:hAnsi="Times New Roman" w:eastAsia="楷体_GB2312" w:cs="Times New Roman"/>
          <w:color w:val="auto"/>
          <w:spacing w:val="-6"/>
          <w:sz w:val="32"/>
          <w:szCs w:val="32"/>
        </w:rPr>
        <w:t>日在雁山区第</w:t>
      </w:r>
      <w:r>
        <w:rPr>
          <w:rFonts w:hint="default" w:ascii="Times New Roman" w:hAnsi="Times New Roman" w:eastAsia="楷体_GB2312" w:cs="Times New Roman"/>
          <w:color w:val="auto"/>
          <w:spacing w:val="-6"/>
          <w:sz w:val="32"/>
          <w:szCs w:val="32"/>
          <w:lang w:eastAsia="zh-CN"/>
        </w:rPr>
        <w:t>六</w:t>
      </w:r>
      <w:r>
        <w:rPr>
          <w:rFonts w:hint="default" w:ascii="Times New Roman" w:hAnsi="Times New Roman" w:eastAsia="楷体_GB2312" w:cs="Times New Roman"/>
          <w:color w:val="auto"/>
          <w:spacing w:val="-6"/>
          <w:sz w:val="32"/>
          <w:szCs w:val="32"/>
        </w:rPr>
        <w:t>届人民代表大会第</w:t>
      </w:r>
      <w:r>
        <w:rPr>
          <w:rFonts w:hint="default" w:ascii="Times New Roman" w:hAnsi="Times New Roman" w:eastAsia="楷体_GB2312" w:cs="Times New Roman"/>
          <w:color w:val="auto"/>
          <w:spacing w:val="-6"/>
          <w:sz w:val="32"/>
          <w:szCs w:val="32"/>
          <w:lang w:val="en-US" w:eastAsia="zh-CN"/>
        </w:rPr>
        <w:t>五</w:t>
      </w:r>
      <w:r>
        <w:rPr>
          <w:rFonts w:hint="default" w:ascii="Times New Roman" w:hAnsi="Times New Roman" w:eastAsia="楷体_GB2312" w:cs="Times New Roman"/>
          <w:color w:val="auto"/>
          <w:spacing w:val="-6"/>
          <w:sz w:val="32"/>
          <w:szCs w:val="32"/>
        </w:rPr>
        <w:t>次会议上</w:t>
      </w:r>
    </w:p>
    <w:p w14:paraId="007E0564">
      <w:pPr>
        <w:pStyle w:val="8"/>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color w:val="auto"/>
          <w:spacing w:val="-6"/>
          <w:kern w:val="2"/>
          <w:sz w:val="32"/>
          <w:szCs w:val="32"/>
          <w:lang w:val="en-US" w:eastAsia="zh-CN" w:bidi="ar-SA"/>
        </w:rPr>
        <w:t>雁山区发展和改革局局长  莫慧芳</w:t>
      </w:r>
    </w:p>
    <w:p w14:paraId="3586CC79">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outlineLvl w:val="9"/>
        <w:rPr>
          <w:rFonts w:hint="default" w:ascii="Times New Roman" w:hAnsi="Times New Roman" w:eastAsia="仿宋_GB2312" w:cs="Times New Roman"/>
          <w:color w:val="auto"/>
          <w:highlight w:val="none"/>
          <w:lang w:val="en-US" w:eastAsia="zh-CN"/>
        </w:rPr>
      </w:pPr>
    </w:p>
    <w:p w14:paraId="451E4C4A">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各位代表：</w:t>
      </w:r>
    </w:p>
    <w:p w14:paraId="2426C4F3">
      <w:pPr>
        <w:pStyle w:val="8"/>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rPr>
          <w:rFonts w:hint="default" w:ascii="Times New Roman" w:hAnsi="Times New Roman" w:cs="Times New Roman"/>
          <w:color w:val="auto"/>
          <w:spacing w:val="-20"/>
          <w:sz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受区人民政府委托，现将我区《202</w:t>
      </w:r>
      <w:r>
        <w:rPr>
          <w:rFonts w:hint="default" w:ascii="Times New Roman" w:hAnsi="Times New Roman"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年国民经济和社会发展计划执行情况与202</w:t>
      </w:r>
      <w:r>
        <w:rPr>
          <w:rFonts w:hint="default" w:ascii="Times New Roman" w:hAnsi="Times New Roman"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年国民经济和社会发展计划（草案）》提请</w:t>
      </w:r>
      <w:r>
        <w:rPr>
          <w:rFonts w:hint="default" w:ascii="Times New Roman" w:hAnsi="Times New Roman" w:eastAsia="仿宋_GB2312" w:cs="Times New Roman"/>
          <w:color w:val="auto"/>
          <w:spacing w:val="-6"/>
          <w:kern w:val="2"/>
          <w:sz w:val="32"/>
          <w:szCs w:val="32"/>
          <w:highlight w:val="none"/>
          <w:lang w:val="en-US" w:eastAsia="zh-CN" w:bidi="ar-SA"/>
        </w:rPr>
        <w:t>区</w:t>
      </w:r>
      <w:r>
        <w:rPr>
          <w:rFonts w:hint="default" w:ascii="Times New Roman" w:hAnsi="Times New Roman" w:cs="Times New Roman"/>
          <w:color w:val="auto"/>
          <w:spacing w:val="-6"/>
          <w:kern w:val="2"/>
          <w:sz w:val="32"/>
          <w:szCs w:val="32"/>
          <w:highlight w:val="none"/>
          <w:lang w:val="en-US" w:eastAsia="zh-CN" w:bidi="ar-SA"/>
        </w:rPr>
        <w:t>六</w:t>
      </w:r>
      <w:r>
        <w:rPr>
          <w:rFonts w:hint="default" w:ascii="Times New Roman" w:hAnsi="Times New Roman" w:eastAsia="仿宋_GB2312" w:cs="Times New Roman"/>
          <w:color w:val="auto"/>
          <w:spacing w:val="-6"/>
          <w:kern w:val="2"/>
          <w:sz w:val="32"/>
          <w:szCs w:val="32"/>
          <w:highlight w:val="none"/>
          <w:lang w:val="en-US" w:eastAsia="zh-CN" w:bidi="ar-SA"/>
        </w:rPr>
        <w:t>届人大第</w:t>
      </w:r>
      <w:r>
        <w:rPr>
          <w:rFonts w:hint="default" w:ascii="Times New Roman" w:hAnsi="Times New Roman" w:cs="Times New Roman"/>
          <w:color w:val="auto"/>
          <w:spacing w:val="-6"/>
          <w:kern w:val="2"/>
          <w:sz w:val="32"/>
          <w:szCs w:val="32"/>
          <w:highlight w:val="none"/>
          <w:lang w:val="en-US" w:eastAsia="zh-CN" w:bidi="ar-SA"/>
        </w:rPr>
        <w:t>五</w:t>
      </w:r>
      <w:r>
        <w:rPr>
          <w:rFonts w:hint="default" w:ascii="Times New Roman" w:hAnsi="Times New Roman" w:eastAsia="仿宋_GB2312" w:cs="Times New Roman"/>
          <w:color w:val="auto"/>
          <w:spacing w:val="-6"/>
          <w:kern w:val="2"/>
          <w:sz w:val="32"/>
          <w:szCs w:val="32"/>
          <w:highlight w:val="none"/>
          <w:lang w:val="en-US" w:eastAsia="zh-CN" w:bidi="ar-SA"/>
        </w:rPr>
        <w:t>次会议审议，并请区政协委员和其他</w:t>
      </w:r>
      <w:r>
        <w:rPr>
          <w:rFonts w:hint="default" w:ascii="Times New Roman" w:hAnsi="Times New Roman" w:cs="Times New Roman"/>
          <w:color w:val="auto"/>
          <w:spacing w:val="-6"/>
          <w:kern w:val="2"/>
          <w:sz w:val="32"/>
          <w:szCs w:val="32"/>
          <w:highlight w:val="none"/>
          <w:lang w:val="en-US" w:eastAsia="zh-CN" w:bidi="ar-SA"/>
        </w:rPr>
        <w:t>列席</w:t>
      </w:r>
      <w:r>
        <w:rPr>
          <w:rFonts w:hint="default" w:ascii="Times New Roman" w:hAnsi="Times New Roman" w:eastAsia="仿宋_GB2312" w:cs="Times New Roman"/>
          <w:color w:val="auto"/>
          <w:spacing w:val="-6"/>
          <w:kern w:val="2"/>
          <w:sz w:val="32"/>
          <w:szCs w:val="32"/>
          <w:highlight w:val="none"/>
          <w:lang w:val="en-US" w:eastAsia="zh-CN" w:bidi="ar-SA"/>
        </w:rPr>
        <w:t>同志提出意见。</w:t>
      </w:r>
    </w:p>
    <w:p w14:paraId="7E175FE5">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一、</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cs="Times New Roman"/>
          <w:color w:val="auto"/>
          <w:kern w:val="2"/>
          <w:sz w:val="32"/>
          <w:szCs w:val="32"/>
          <w:highlight w:val="none"/>
          <w:lang w:val="en-US" w:eastAsia="zh-CN" w:bidi="ar-SA"/>
        </w:rPr>
        <w:t>4</w:t>
      </w:r>
      <w:r>
        <w:rPr>
          <w:rFonts w:hint="default" w:ascii="Times New Roman" w:hAnsi="Times New Roman" w:eastAsia="黑体" w:cs="Times New Roman"/>
          <w:color w:val="auto"/>
          <w:highlight w:val="none"/>
          <w:lang w:val="en-US" w:eastAsia="zh-CN"/>
        </w:rPr>
        <w:t>年</w:t>
      </w:r>
      <w:r>
        <w:rPr>
          <w:rFonts w:hint="default" w:ascii="Times New Roman" w:hAnsi="Times New Roman" w:eastAsia="黑体" w:cs="Times New Roman"/>
          <w:color w:val="auto"/>
          <w:highlight w:val="none"/>
        </w:rPr>
        <w:t>全区国民经济和社会发展计划执行情况</w:t>
      </w:r>
    </w:p>
    <w:p w14:paraId="49B11561">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cs="Times New Roman"/>
          <w:color w:val="auto"/>
          <w:kern w:val="2"/>
          <w:sz w:val="32"/>
          <w:szCs w:val="32"/>
          <w:highlight w:val="none"/>
          <w:lang w:val="zh-TW" w:eastAsia="zh-CN" w:bidi="ar-SA"/>
        </w:rPr>
      </w:pPr>
      <w:r>
        <w:rPr>
          <w:rFonts w:hint="default" w:ascii="Times New Roman" w:hAnsi="Times New Roman" w:cs="Times New Roman"/>
          <w:color w:val="auto"/>
          <w:kern w:val="2"/>
          <w:sz w:val="32"/>
          <w:szCs w:val="32"/>
          <w:highlight w:val="none"/>
          <w:lang w:val="en-US" w:eastAsia="zh-CN" w:bidi="ar-SA"/>
        </w:rPr>
        <w:t>2024年是新中国成立75周年，是“十四五”规划实施的关键之年</w:t>
      </w:r>
      <w:r>
        <w:rPr>
          <w:rFonts w:hint="default" w:ascii="Times New Roman" w:hAnsi="Times New Roman" w:cs="Times New Roman"/>
          <w:color w:val="auto"/>
          <w:kern w:val="2"/>
          <w:sz w:val="32"/>
          <w:szCs w:val="32"/>
          <w:highlight w:val="none"/>
          <w:lang w:val="zh-TW" w:eastAsia="zh-CN" w:bidi="ar-SA"/>
        </w:rPr>
        <w:t>，也是《桂林世界级旅游城市建设发展规划》全面实施的起步之年。在桂林市委、市政府的坚强领导下，</w:t>
      </w:r>
      <w:r>
        <w:rPr>
          <w:rFonts w:hint="default" w:ascii="Times New Roman" w:hAnsi="Times New Roman" w:cs="Times New Roman"/>
          <w:color w:val="auto"/>
          <w:kern w:val="2"/>
          <w:sz w:val="32"/>
          <w:szCs w:val="32"/>
          <w:highlight w:val="none"/>
          <w:lang w:val="en-US" w:eastAsia="zh-CN" w:bidi="ar-SA"/>
        </w:rPr>
        <w:t>我</w:t>
      </w:r>
      <w:r>
        <w:rPr>
          <w:rFonts w:hint="default" w:ascii="Times New Roman" w:hAnsi="Times New Roman" w:cs="Times New Roman"/>
          <w:color w:val="auto"/>
          <w:kern w:val="2"/>
          <w:sz w:val="32"/>
          <w:szCs w:val="32"/>
          <w:highlight w:val="none"/>
          <w:lang w:val="zh-TW" w:eastAsia="zh-CN" w:bidi="ar-SA"/>
        </w:rPr>
        <w:t>区以习近平新时代中国特色社会主义思想为指引，深入贯彻党的二十大、二十届二中、三中全会和中央经济工作会议精神，</w:t>
      </w:r>
      <w:r>
        <w:rPr>
          <w:rFonts w:hint="default" w:ascii="Times New Roman" w:hAnsi="Times New Roman" w:eastAsia="仿宋_GB2312" w:cs="Times New Roman"/>
          <w:color w:val="auto"/>
          <w:kern w:val="2"/>
          <w:sz w:val="32"/>
          <w:szCs w:val="32"/>
          <w:highlight w:val="none"/>
          <w:lang w:val="zh-TW" w:eastAsia="zh-CN" w:bidi="ar-SA"/>
        </w:rPr>
        <w:t>践行习近平总书记对广西工作论述的重要要求和桂林工作重要指示精神，</w:t>
      </w:r>
      <w:r>
        <w:rPr>
          <w:rFonts w:hint="default" w:ascii="Times New Roman" w:hAnsi="Times New Roman" w:cs="Times New Roman"/>
          <w:color w:val="auto"/>
          <w:kern w:val="2"/>
          <w:sz w:val="32"/>
          <w:szCs w:val="32"/>
          <w:highlight w:val="none"/>
          <w:lang w:val="zh-TW" w:eastAsia="zh-CN" w:bidi="ar-SA"/>
        </w:rPr>
        <w:t>坚持稳中求进工作总基调，全面贯彻新发展理念，融入新发展格局，强化民生保障与安全底线，推动全区经济社会发展稳健前行，成效显著。</w:t>
      </w:r>
    </w:p>
    <w:p w14:paraId="3F337C8A">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Style w:val="29"/>
          <w:rFonts w:hint="default" w:ascii="Times New Roman" w:hAnsi="Times New Roman" w:eastAsia="楷体_GB2312" w:cs="Times New Roman"/>
          <w:b/>
          <w:color w:val="auto"/>
          <w:spacing w:val="-2"/>
          <w:szCs w:val="32"/>
          <w:highlight w:val="none"/>
          <w:lang w:eastAsia="zh-CN"/>
        </w:rPr>
      </w:pPr>
      <w:r>
        <w:rPr>
          <w:rFonts w:hint="default" w:ascii="Times New Roman" w:hAnsi="Times New Roman" w:cs="Times New Roman"/>
          <w:color w:val="auto"/>
          <w:kern w:val="2"/>
          <w:sz w:val="32"/>
          <w:szCs w:val="32"/>
          <w:highlight w:val="none"/>
          <w:lang w:val="en-US" w:eastAsia="zh-CN" w:bidi="ar-SA"/>
        </w:rPr>
        <w:t>初步统计，全区</w:t>
      </w:r>
      <w:r>
        <w:rPr>
          <w:rFonts w:hint="default" w:ascii="Times New Roman" w:hAnsi="Times New Roman" w:cs="Times New Roman"/>
          <w:color w:val="auto"/>
          <w:kern w:val="2"/>
          <w:sz w:val="32"/>
          <w:szCs w:val="32"/>
          <w:highlight w:val="none"/>
          <w:lang w:val="zh-TW" w:eastAsia="zh-CN" w:bidi="ar-SA"/>
        </w:rPr>
        <w:t>地区</w:t>
      </w:r>
      <w:r>
        <w:rPr>
          <w:rFonts w:hint="default" w:ascii="Times New Roman" w:hAnsi="Times New Roman" w:cs="Times New Roman"/>
          <w:color w:val="auto"/>
          <w:kern w:val="2"/>
          <w:sz w:val="32"/>
          <w:szCs w:val="32"/>
          <w:highlight w:val="none"/>
          <w:lang w:val="en-US" w:eastAsia="zh-CN" w:bidi="ar-SA"/>
        </w:rPr>
        <w:t>生产总值增长2.6%，一、二、三产业增加值分别增长4.2%、1.5%、2.3%，</w:t>
      </w:r>
      <w:r>
        <w:rPr>
          <w:rFonts w:hint="default" w:ascii="Times New Roman" w:hAnsi="Times New Roman" w:cs="Times New Roman"/>
          <w:color w:val="auto"/>
          <w:kern w:val="2"/>
          <w:sz w:val="32"/>
          <w:szCs w:val="32"/>
          <w:highlight w:val="none"/>
          <w:lang w:val="zh-TW" w:eastAsia="zh-CN" w:bidi="ar-SA"/>
        </w:rPr>
        <w:t>固定资产投资</w:t>
      </w:r>
      <w:r>
        <w:rPr>
          <w:rFonts w:hint="default" w:ascii="Times New Roman" w:hAnsi="Times New Roman" w:cs="Times New Roman"/>
          <w:color w:val="auto"/>
          <w:kern w:val="2"/>
          <w:sz w:val="32"/>
          <w:szCs w:val="32"/>
          <w:highlight w:val="none"/>
          <w:lang w:val="en-US" w:eastAsia="zh-CN" w:bidi="ar-SA"/>
        </w:rPr>
        <w:t>增长20.4</w:t>
      </w:r>
      <w:r>
        <w:rPr>
          <w:rFonts w:hint="default" w:ascii="Times New Roman" w:hAnsi="Times New Roman" w:cs="Times New Roman"/>
          <w:color w:val="auto"/>
          <w:kern w:val="2"/>
          <w:sz w:val="32"/>
          <w:szCs w:val="32"/>
          <w:highlight w:val="none"/>
          <w:lang w:val="zh-TW" w:eastAsia="zh-CN" w:bidi="ar-SA"/>
        </w:rPr>
        <w:t>%，建筑业增加值增长</w:t>
      </w:r>
      <w:r>
        <w:rPr>
          <w:rFonts w:hint="default" w:ascii="Times New Roman" w:hAnsi="Times New Roman" w:cs="Times New Roman"/>
          <w:color w:val="auto"/>
          <w:kern w:val="2"/>
          <w:sz w:val="32"/>
          <w:szCs w:val="32"/>
          <w:highlight w:val="none"/>
          <w:lang w:val="en-US" w:eastAsia="zh-CN" w:bidi="ar-SA"/>
        </w:rPr>
        <w:t>12.8%</w:t>
      </w:r>
      <w:r>
        <w:rPr>
          <w:rFonts w:hint="default" w:ascii="Times New Roman" w:hAnsi="Times New Roman" w:cs="Times New Roman"/>
          <w:color w:val="auto"/>
          <w:kern w:val="2"/>
          <w:sz w:val="32"/>
          <w:szCs w:val="32"/>
          <w:highlight w:val="none"/>
          <w:lang w:val="zh-TW" w:eastAsia="zh-CN" w:bidi="ar-SA"/>
        </w:rPr>
        <w:t>，城镇居民和农村居民人均可支配收入分别增长</w:t>
      </w:r>
      <w:r>
        <w:rPr>
          <w:rFonts w:hint="default" w:ascii="Times New Roman" w:hAnsi="Times New Roman" w:cs="Times New Roman"/>
          <w:color w:val="auto"/>
          <w:kern w:val="2"/>
          <w:sz w:val="32"/>
          <w:szCs w:val="32"/>
          <w:highlight w:val="none"/>
          <w:lang w:val="en-US" w:eastAsia="zh-CN" w:bidi="ar-SA"/>
        </w:rPr>
        <w:t>3.9</w:t>
      </w:r>
      <w:r>
        <w:rPr>
          <w:rFonts w:hint="default" w:ascii="Times New Roman" w:hAnsi="Times New Roman" w:cs="Times New Roman"/>
          <w:color w:val="auto"/>
          <w:kern w:val="2"/>
          <w:sz w:val="32"/>
          <w:szCs w:val="32"/>
          <w:highlight w:val="none"/>
          <w:lang w:val="zh-TW" w:eastAsia="zh-CN" w:bidi="ar-SA"/>
        </w:rPr>
        <w:t>%、</w:t>
      </w:r>
      <w:r>
        <w:rPr>
          <w:rFonts w:hint="default" w:ascii="Times New Roman" w:hAnsi="Times New Roman" w:cs="Times New Roman"/>
          <w:color w:val="auto"/>
          <w:kern w:val="2"/>
          <w:sz w:val="32"/>
          <w:szCs w:val="32"/>
          <w:highlight w:val="none"/>
          <w:lang w:val="en-US" w:eastAsia="zh-CN" w:bidi="ar-SA"/>
        </w:rPr>
        <w:t>6.2</w:t>
      </w:r>
      <w:r>
        <w:rPr>
          <w:rFonts w:hint="default" w:ascii="Times New Roman" w:hAnsi="Times New Roman" w:cs="Times New Roman"/>
          <w:color w:val="auto"/>
          <w:kern w:val="2"/>
          <w:sz w:val="32"/>
          <w:szCs w:val="32"/>
          <w:highlight w:val="none"/>
          <w:lang w:val="zh-TW" w:eastAsia="zh-CN" w:bidi="ar-SA"/>
        </w:rPr>
        <w:t>%。其中一产增加值、建筑业增加值增速位居全市第一。</w:t>
      </w:r>
    </w:p>
    <w:p w14:paraId="2EB15D9C">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）奋力建设产业强区，持续加快转型升级步伐</w:t>
      </w:r>
    </w:p>
    <w:p w14:paraId="38F1D6B7">
      <w:pPr>
        <w:keepNext w:val="0"/>
        <w:keepLines w:val="0"/>
        <w:pageBreakBefore w:val="0"/>
        <w:widowControl w:val="0"/>
        <w:kinsoku/>
        <w:wordWrap/>
        <w:overflowPunct/>
        <w:topLinePunct w:val="0"/>
        <w:autoSpaceDE/>
        <w:autoSpaceDN/>
        <w:bidi w:val="0"/>
        <w:spacing w:line="586"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vertAlign w:val="baseline"/>
          <w:lang w:val="en-US" w:eastAsia="zh-CN" w:bidi="ar"/>
        </w:rPr>
      </w:pPr>
      <w:r>
        <w:rPr>
          <w:rFonts w:hint="default" w:ascii="Times New Roman" w:hAnsi="Times New Roman" w:cs="Times New Roman"/>
          <w:b/>
          <w:bCs/>
          <w:color w:val="auto"/>
          <w:kern w:val="2"/>
          <w:sz w:val="32"/>
          <w:szCs w:val="32"/>
          <w:highlight w:val="none"/>
          <w:lang w:val="zh-TW" w:eastAsia="zh-CN" w:bidi="ar-SA"/>
        </w:rPr>
        <w:t>农业发展坚实稳健。</w:t>
      </w:r>
      <w:r>
        <w:rPr>
          <w:rFonts w:hint="default" w:ascii="Times New Roman" w:hAnsi="Times New Roman" w:eastAsia="仿宋_GB2312" w:cs="Times New Roman"/>
          <w:color w:val="auto"/>
          <w:sz w:val="32"/>
          <w:szCs w:val="32"/>
          <w:u w:val="none"/>
          <w:lang w:eastAsia="zh-CN"/>
        </w:rPr>
        <w:t>着力稳定粮食生产和“菜篮子”工程，</w:t>
      </w:r>
      <w:r>
        <w:rPr>
          <w:rFonts w:hint="default" w:ascii="Times New Roman" w:hAnsi="Times New Roman" w:eastAsia="仿宋_GB2312" w:cs="Times New Roman"/>
          <w:color w:val="auto"/>
          <w:sz w:val="32"/>
          <w:szCs w:val="32"/>
          <w:u w:val="none"/>
          <w:lang w:val="zh-TW" w:eastAsia="zh-CN"/>
        </w:rPr>
        <w:t>完成202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zh-TW" w:eastAsia="zh-CN"/>
        </w:rPr>
        <w:t>年粮食生产目标计划的</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%，全年蔬菜播种面积8.39万亩、产量达13.46万吨</w:t>
      </w:r>
      <w:r>
        <w:rPr>
          <w:rFonts w:hint="default" w:ascii="Times New Roman" w:hAnsi="Times New Roman" w:eastAsia="仿宋_GB2312" w:cs="Times New Roman"/>
          <w:color w:val="auto"/>
          <w:sz w:val="32"/>
          <w:szCs w:val="32"/>
          <w:u w:val="none"/>
          <w:lang w:val="zh-TW" w:eastAsia="zh-CN"/>
        </w:rPr>
        <w:t>。</w:t>
      </w:r>
      <w:r>
        <w:rPr>
          <w:rFonts w:hint="default" w:ascii="Times New Roman" w:hAnsi="Times New Roman" w:eastAsia="仿宋_GB2312" w:cs="Times New Roman"/>
          <w:color w:val="auto"/>
          <w:sz w:val="32"/>
          <w:szCs w:val="32"/>
          <w:u w:val="none"/>
          <w:lang w:val="en-US" w:eastAsia="zh-CN"/>
        </w:rPr>
        <w:t>撂荒耕地治理成效显著</w:t>
      </w:r>
      <w:r>
        <w:rPr>
          <w:rFonts w:hint="default" w:ascii="Times New Roman" w:hAnsi="Times New Roman" w:eastAsia="仿宋_GB2312" w:cs="Times New Roman"/>
          <w:color w:val="auto"/>
          <w:sz w:val="32"/>
          <w:szCs w:val="32"/>
          <w:u w:val="none"/>
          <w:lang w:val="zh-CN" w:eastAsia="zh-CN"/>
        </w:rPr>
        <w:t>，累计</w:t>
      </w:r>
      <w:r>
        <w:rPr>
          <w:rFonts w:hint="default" w:ascii="Times New Roman" w:hAnsi="Times New Roman" w:eastAsia="仿宋_GB2312" w:cs="Times New Roman"/>
          <w:color w:val="auto"/>
          <w:sz w:val="32"/>
          <w:szCs w:val="32"/>
          <w:u w:val="none"/>
          <w:lang w:val="en-US" w:eastAsia="zh-CN"/>
        </w:rPr>
        <w:t>治理率达95.6%；</w:t>
      </w:r>
      <w:r>
        <w:rPr>
          <w:rFonts w:hint="default" w:ascii="Times New Roman" w:hAnsi="Times New Roman" w:eastAsia="仿宋_GB2312" w:cs="Times New Roman"/>
          <w:color w:val="auto"/>
          <w:sz w:val="32"/>
          <w:szCs w:val="32"/>
          <w:u w:val="none"/>
          <w:lang w:val="zh-CN" w:eastAsia="zh-CN"/>
        </w:rPr>
        <w:t>新建和提质改造高标准农田</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zh-CN" w:eastAsia="zh-CN"/>
        </w:rPr>
        <w:t>000亩</w:t>
      </w:r>
      <w:r>
        <w:rPr>
          <w:rFonts w:hint="default" w:ascii="Times New Roman" w:hAnsi="Times New Roman" w:eastAsia="仿宋_GB2312" w:cs="Times New Roman"/>
          <w:color w:val="auto"/>
          <w:sz w:val="32"/>
          <w:szCs w:val="32"/>
          <w:u w:val="none"/>
          <w:lang w:val="zh-TW" w:eastAsia="zh-CN"/>
        </w:rPr>
        <w:t>；</w:t>
      </w:r>
      <w:r>
        <w:rPr>
          <w:rFonts w:hint="default" w:ascii="Times New Roman" w:hAnsi="Times New Roman" w:eastAsia="仿宋_GB2312" w:cs="Times New Roman"/>
          <w:color w:val="auto"/>
          <w:sz w:val="32"/>
          <w:szCs w:val="32"/>
          <w:u w:val="none"/>
          <w:lang w:val="en-US" w:eastAsia="zh-CN"/>
        </w:rPr>
        <w:t>生态养殖快速发展，建成自治区最大生态牛规模养殖基地，牛存栏6000头。农业设施项目稳步推进，开工建设标准设施农业项目200亩、特色种植示范项目30亩，流转储备土地3000亩。</w:t>
      </w:r>
      <w:r>
        <w:rPr>
          <w:rFonts w:hint="default" w:ascii="Times New Roman" w:hAnsi="Times New Roman" w:eastAsia="仿宋_GB2312" w:cs="Times New Roman"/>
          <w:color w:val="auto"/>
          <w:sz w:val="32"/>
          <w:szCs w:val="32"/>
          <w:u w:val="none"/>
          <w:lang w:eastAsia="zh-CN"/>
        </w:rPr>
        <w:t>争取上级财政衔接乡村振兴补助资金</w:t>
      </w:r>
      <w:r>
        <w:rPr>
          <w:rFonts w:hint="default" w:ascii="Times New Roman" w:hAnsi="Times New Roman" w:eastAsia="仿宋_GB2312" w:cs="Times New Roman"/>
          <w:color w:val="auto"/>
          <w:sz w:val="32"/>
          <w:szCs w:val="32"/>
          <w:u w:val="none"/>
          <w:lang w:val="en-US" w:eastAsia="zh-CN"/>
        </w:rPr>
        <w:t>4765</w:t>
      </w:r>
      <w:r>
        <w:rPr>
          <w:rFonts w:hint="default" w:ascii="Times New Roman" w:hAnsi="Times New Roman" w:eastAsia="仿宋_GB2312" w:cs="Times New Roman"/>
          <w:color w:val="auto"/>
          <w:sz w:val="32"/>
          <w:szCs w:val="32"/>
          <w:u w:val="none"/>
          <w:lang w:eastAsia="zh-CN"/>
        </w:rPr>
        <w:t>万元、实施项目</w:t>
      </w:r>
      <w:r>
        <w:rPr>
          <w:rFonts w:hint="default" w:ascii="Times New Roman" w:hAnsi="Times New Roman" w:eastAsia="仿宋_GB2312" w:cs="Times New Roman"/>
          <w:color w:val="auto"/>
          <w:sz w:val="32"/>
          <w:szCs w:val="32"/>
          <w:u w:val="none"/>
          <w:lang w:val="en-US" w:eastAsia="zh-CN"/>
        </w:rPr>
        <w:t>46</w:t>
      </w:r>
      <w:r>
        <w:rPr>
          <w:rFonts w:hint="default" w:ascii="Times New Roman" w:hAnsi="Times New Roman" w:eastAsia="仿宋_GB2312" w:cs="Times New Roman"/>
          <w:color w:val="auto"/>
          <w:sz w:val="32"/>
          <w:szCs w:val="32"/>
          <w:u w:val="none"/>
          <w:lang w:eastAsia="zh-CN"/>
        </w:rPr>
        <w:t>个。</w:t>
      </w:r>
      <w:r>
        <w:rPr>
          <w:rFonts w:hint="default" w:ascii="Times New Roman" w:hAnsi="Times New Roman" w:eastAsia="仿宋_GB2312" w:cs="Times New Roman"/>
          <w:color w:val="auto"/>
          <w:sz w:val="32"/>
          <w:szCs w:val="32"/>
          <w:u w:val="none"/>
          <w:lang w:val="en-US" w:eastAsia="zh-CN"/>
        </w:rPr>
        <w:t>以“草坪回族乡潜经回民古村落→良丰农场乡谣里→大埠乡红顶花园”为重点旅游路线，打造雁山区休闲农业精品</w:t>
      </w:r>
      <w:r>
        <w:rPr>
          <w:rFonts w:hint="default" w:ascii="Times New Roman" w:hAnsi="Times New Roman" w:eastAsia="仿宋_GB2312" w:cs="Times New Roman"/>
          <w:b w:val="0"/>
          <w:bCs w:val="0"/>
          <w:color w:val="auto"/>
          <w:kern w:val="0"/>
          <w:sz w:val="32"/>
          <w:szCs w:val="32"/>
          <w:highlight w:val="none"/>
          <w:vertAlign w:val="baseline"/>
          <w:lang w:val="en-US" w:eastAsia="zh-CN" w:bidi="ar"/>
        </w:rPr>
        <w:t>。</w:t>
      </w:r>
    </w:p>
    <w:p w14:paraId="121F21F0">
      <w:pPr>
        <w:keepNext w:val="0"/>
        <w:keepLines w:val="0"/>
        <w:pageBreakBefore w:val="0"/>
        <w:widowControl w:val="0"/>
        <w:kinsoku/>
        <w:wordWrap/>
        <w:overflowPunct/>
        <w:topLinePunct w:val="0"/>
        <w:autoSpaceDE/>
        <w:autoSpaceDN/>
        <w:bidi w:val="0"/>
        <w:spacing w:line="586"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bCs/>
          <w:color w:val="auto"/>
          <w:kern w:val="0"/>
          <w:sz w:val="32"/>
          <w:szCs w:val="32"/>
          <w:highlight w:val="none"/>
          <w:vertAlign w:val="baseline"/>
          <w:lang w:val="en-US" w:eastAsia="zh-CN" w:bidi="ar"/>
        </w:rPr>
        <w:t>工业发展平稳趋升</w:t>
      </w:r>
      <w:r>
        <w:rPr>
          <w:rFonts w:hint="default" w:ascii="Times New Roman" w:hAnsi="Times New Roman" w:cs="Times New Roman"/>
          <w:b w:val="0"/>
          <w:bCs w:val="0"/>
          <w:color w:val="auto"/>
          <w:kern w:val="0"/>
          <w:sz w:val="32"/>
          <w:szCs w:val="32"/>
          <w:highlight w:val="none"/>
          <w:vertAlign w:val="baseline"/>
          <w:lang w:val="en-US" w:eastAsia="zh-CN" w:bidi="ar"/>
        </w:rPr>
        <w:t>。</w:t>
      </w:r>
      <w:r>
        <w:rPr>
          <w:rFonts w:hint="default" w:ascii="Times New Roman" w:hAnsi="Times New Roman" w:eastAsia="仿宋_GB2312" w:cs="Times New Roman"/>
          <w:color w:val="auto"/>
          <w:sz w:val="32"/>
          <w:szCs w:val="32"/>
          <w:u w:val="none"/>
          <w:lang w:val="en-US" w:eastAsia="zh-CN"/>
        </w:rPr>
        <w:t>持续发挥吉福思等龙头企业引领作用，扶持金谷新材料等小型企业发展壮大，培育漓芝润、桂融木业等3家规下企业升规入统，形成完整发展链条。完成桂林同方泓嘉、湘辣王等企业扩建升级厂房项目；培育吉福思申报2024年度国家</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专精特新小巨人</w:t>
      </w:r>
      <w:r>
        <w:rPr>
          <w:rFonts w:hint="default" w:ascii="Times New Roman" w:hAnsi="Times New Roman" w:cs="Times New Roman"/>
          <w:color w:val="auto"/>
          <w:highlight w:val="none"/>
          <w:lang w:val="en-US" w:eastAsia="zh-CN"/>
        </w:rPr>
        <w:t>企业</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color w:val="auto"/>
          <w:sz w:val="32"/>
          <w:szCs w:val="32"/>
          <w:u w:val="none"/>
          <w:vertAlign w:val="superscript"/>
          <w:lang w:val="en-US" w:eastAsia="zh-CN"/>
        </w:rPr>
        <w:t>[1]</w:t>
      </w:r>
      <w:r>
        <w:rPr>
          <w:rFonts w:hint="default" w:ascii="Times New Roman" w:hAnsi="Times New Roman" w:eastAsia="仿宋_GB2312" w:cs="Times New Roman"/>
          <w:color w:val="auto"/>
          <w:sz w:val="32"/>
          <w:szCs w:val="32"/>
          <w:u w:val="none"/>
          <w:lang w:val="en-US" w:eastAsia="zh-CN"/>
        </w:rPr>
        <w:t>；获得各类上级资金共计203万元。成功摘牌2024年桂林市第一宗工业用地标准地和高新区按“标准地”</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2</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sz w:val="32"/>
          <w:szCs w:val="32"/>
          <w:u w:val="none"/>
          <w:lang w:val="en-US" w:eastAsia="zh-CN"/>
        </w:rPr>
        <w:t>要求出让的第三宗工业用地。</w:t>
      </w:r>
    </w:p>
    <w:p w14:paraId="0EC384CE">
      <w:pPr>
        <w:keepNext w:val="0"/>
        <w:keepLines w:val="0"/>
        <w:pageBreakBefore w:val="0"/>
        <w:widowControl w:val="0"/>
        <w:kinsoku/>
        <w:wordWrap/>
        <w:overflowPunct/>
        <w:topLinePunct w:val="0"/>
        <w:autoSpaceDE/>
        <w:autoSpaceDN/>
        <w:bidi w:val="0"/>
        <w:spacing w:line="586"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文旅发展亮点十足。</w:t>
      </w:r>
      <w:r>
        <w:rPr>
          <w:rFonts w:hint="default" w:ascii="Times New Roman" w:hAnsi="Times New Roman" w:eastAsia="仿宋_GB2312" w:cs="Times New Roman"/>
          <w:color w:val="auto"/>
          <w:sz w:val="32"/>
          <w:szCs w:val="32"/>
          <w:u w:val="none"/>
          <w:lang w:val="en-US" w:eastAsia="zh-CN"/>
        </w:rPr>
        <w:t>桂林雁山旅游度假区获评国家级旅游度假区，成为今年广西唯一获此殊荣的县区。圆满举办草坪回族乡四十周年</w:t>
      </w:r>
      <w:r>
        <w:rPr>
          <w:rFonts w:hint="default" w:ascii="Times New Roman" w:hAnsi="Times New Roman" w:cs="Times New Roman"/>
          <w:color w:val="auto"/>
          <w:sz w:val="32"/>
          <w:szCs w:val="32"/>
          <w:u w:val="none"/>
          <w:lang w:val="en-US" w:eastAsia="zh-CN"/>
        </w:rPr>
        <w:t>乡庆</w:t>
      </w:r>
      <w:r>
        <w:rPr>
          <w:rFonts w:hint="default" w:ascii="Times New Roman" w:hAnsi="Times New Roman" w:eastAsia="仿宋_GB2312" w:cs="Times New Roman"/>
          <w:color w:val="auto"/>
          <w:sz w:val="32"/>
          <w:szCs w:val="32"/>
          <w:u w:val="none"/>
          <w:lang w:val="en-US" w:eastAsia="zh-CN"/>
        </w:rPr>
        <w:t>、“最美三月·潮聚潜经”等民族特色活动。依托我区高校云集优势，成功举办各类面向学生等年轻人群体的活动赛事6</w:t>
      </w:r>
      <w:r>
        <w:rPr>
          <w:rFonts w:hint="default" w:ascii="Times New Roman" w:hAnsi="Times New Roman" w:cs="Times New Roman"/>
          <w:color w:val="auto"/>
          <w:sz w:val="32"/>
          <w:szCs w:val="32"/>
          <w:u w:val="none"/>
          <w:lang w:val="en-US" w:eastAsia="zh-CN"/>
        </w:rPr>
        <w:t>场</w:t>
      </w:r>
      <w:r>
        <w:rPr>
          <w:rFonts w:hint="default" w:ascii="Times New Roman" w:hAnsi="Times New Roman" w:eastAsia="仿宋_GB2312" w:cs="Times New Roman"/>
          <w:color w:val="auto"/>
          <w:sz w:val="32"/>
          <w:szCs w:val="32"/>
          <w:u w:val="none"/>
          <w:lang w:val="en-US" w:eastAsia="zh-CN"/>
        </w:rPr>
        <w:t>次。打造雁山区历史文化展示馆、潜经书画公益课堂。积极争取上级资金200万元，建设非遗文化保护和传承中心。申报各级非遗代表性项目1项。发布宣传视频270条。全年累计接待游客</w:t>
      </w:r>
      <w:r>
        <w:rPr>
          <w:rFonts w:hint="default" w:ascii="Times New Roman" w:hAnsi="Times New Roman" w:cs="Times New Roman"/>
          <w:color w:val="auto"/>
          <w:sz w:val="32"/>
          <w:szCs w:val="32"/>
          <w:u w:val="none"/>
          <w:lang w:val="en-US" w:eastAsia="zh-CN"/>
        </w:rPr>
        <w:t>807.84</w:t>
      </w:r>
      <w:r>
        <w:rPr>
          <w:rFonts w:hint="default" w:ascii="Times New Roman" w:hAnsi="Times New Roman" w:eastAsia="仿宋_GB2312" w:cs="Times New Roman"/>
          <w:color w:val="auto"/>
          <w:sz w:val="32"/>
          <w:szCs w:val="32"/>
          <w:u w:val="none"/>
          <w:lang w:val="en-US" w:eastAsia="zh-CN"/>
        </w:rPr>
        <w:t>万人次。</w:t>
      </w:r>
    </w:p>
    <w:p w14:paraId="36489358">
      <w:pPr>
        <w:keepNext w:val="0"/>
        <w:keepLines w:val="0"/>
        <w:pageBreakBefore w:val="0"/>
        <w:widowControl w:val="0"/>
        <w:kinsoku/>
        <w:wordWrap/>
        <w:overflowPunct/>
        <w:topLinePunct w:val="0"/>
        <w:autoSpaceDE/>
        <w:autoSpaceDN/>
        <w:bidi w:val="0"/>
        <w:spacing w:line="586"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b/>
          <w:bCs/>
          <w:color w:val="auto"/>
          <w:sz w:val="32"/>
          <w:szCs w:val="32"/>
          <w:highlight w:val="none"/>
          <w:lang w:val="en-US" w:eastAsia="zh-CN"/>
        </w:rPr>
        <w:t>固投增速扭负为正。</w:t>
      </w:r>
      <w:r>
        <w:rPr>
          <w:rFonts w:hint="default" w:ascii="Times New Roman" w:hAnsi="Times New Roman" w:eastAsia="仿宋_GB2312" w:cs="Times New Roman"/>
          <w:color w:val="auto"/>
          <w:sz w:val="32"/>
          <w:szCs w:val="32"/>
          <w:u w:val="none"/>
          <w:lang w:val="en-US" w:eastAsia="zh-CN"/>
        </w:rPr>
        <w:t>今年我区创新工作形式，与辖区各高校建立顺畅沟通机制。全年新增入库固定资产投资项目26个，完成投资14.22亿元，同比增长20.4%，显著提升了区域经济的稳定性和发展潜力。</w:t>
      </w:r>
    </w:p>
    <w:p w14:paraId="326DC5B0">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）聚焦攻坚多元建设，持续增强发展动能</w:t>
      </w:r>
    </w:p>
    <w:p w14:paraId="51A5B481">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default" w:ascii="Times New Roman" w:hAnsi="Times New Roman" w:cs="Times New Roman"/>
          <w:b/>
          <w:bCs w:val="0"/>
          <w:color w:val="auto"/>
          <w:sz w:val="32"/>
          <w:szCs w:val="32"/>
          <w:highlight w:val="none"/>
          <w:lang w:eastAsia="zh-CN"/>
        </w:rPr>
        <w:t>园区建设规模壮大</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u w:val="none"/>
          <w:lang w:eastAsia="zh-CN"/>
        </w:rPr>
        <w:t>进一步完善园区基础设施、标准厂房建设和</w:t>
      </w:r>
      <w:r>
        <w:rPr>
          <w:rFonts w:hint="default" w:ascii="Times New Roman" w:hAnsi="Times New Roman" w:eastAsia="仿宋_GB2312" w:cs="Times New Roman"/>
          <w:color w:val="auto"/>
          <w:sz w:val="32"/>
          <w:szCs w:val="32"/>
          <w:u w:val="none"/>
          <w:lang w:val="en-US" w:eastAsia="zh-CN"/>
        </w:rPr>
        <w:t>供电需求保障，整合盘活闲置用地和厂房，建成标准厂房5.06万平方米。</w:t>
      </w:r>
      <w:r>
        <w:rPr>
          <w:rFonts w:hint="default"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lang w:val="en-US" w:eastAsia="zh-CN"/>
        </w:rPr>
        <w:t>“一园两院一中心”</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3</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sz w:val="32"/>
          <w:szCs w:val="32"/>
          <w:u w:val="none"/>
          <w:lang w:val="en-US" w:eastAsia="zh-CN"/>
        </w:rPr>
        <w:t>为抓手推进科技创新与产业创新深度融合，</w:t>
      </w:r>
      <w:r>
        <w:rPr>
          <w:rFonts w:hint="default" w:ascii="Times New Roman" w:hAnsi="Times New Roman" w:eastAsia="仿宋_GB2312" w:cs="Times New Roman"/>
          <w:color w:val="auto"/>
          <w:sz w:val="32"/>
          <w:szCs w:val="32"/>
          <w:u w:val="none"/>
          <w:lang w:eastAsia="zh-CN"/>
        </w:rPr>
        <w:t>加速推进雁山新质生产力科创产业园建设，完成科创产业园</w:t>
      </w:r>
      <w:r>
        <w:rPr>
          <w:rFonts w:hint="default" w:ascii="Times New Roman" w:hAnsi="Times New Roman" w:eastAsia="仿宋_GB2312" w:cs="Times New Roman"/>
          <w:color w:val="auto"/>
          <w:sz w:val="32"/>
          <w:szCs w:val="32"/>
          <w:u w:val="none"/>
          <w:lang w:val="en-US" w:eastAsia="zh-CN"/>
        </w:rPr>
        <w:t>展示中心大楼主体工程建设，初步与广西师范大学创新创业学院达成共建概念验证中心意向合作，与桂林理工大学共同打造生物、化学、材料等领域中试基地；4个博士/专家团队、3个研发中心、2家科研生产企业、7家服务型企业意向入驻园区。</w:t>
      </w:r>
    </w:p>
    <w:p w14:paraId="2B6FDCBB">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left="0" w:leftChars="0" w:right="0" w:rightChars="0" w:firstLine="643" w:firstLineChars="200"/>
        <w:contextualSpacing/>
        <w:jc w:val="left"/>
        <w:textAlignment w:val="auto"/>
        <w:outlineLvl w:val="9"/>
        <w:rPr>
          <w:rFonts w:hint="default" w:ascii="Times New Roman" w:hAnsi="Times New Roman" w:eastAsia="仿宋_GB2312" w:cs="Times New Roman"/>
          <w:color w:val="auto"/>
          <w:sz w:val="32"/>
          <w:szCs w:val="32"/>
          <w:highlight w:val="none"/>
          <w:lang w:val="zh-TW" w:eastAsia="zh-CN"/>
        </w:rPr>
      </w:pPr>
      <w:r>
        <w:rPr>
          <w:rFonts w:hint="default" w:ascii="Times New Roman" w:hAnsi="Times New Roman" w:cs="Times New Roman"/>
          <w:b/>
          <w:bCs/>
          <w:strike w:val="0"/>
          <w:dstrike w:val="0"/>
          <w:color w:val="auto"/>
          <w:sz w:val="32"/>
          <w:szCs w:val="32"/>
          <w:highlight w:val="none"/>
          <w:lang w:val="en-US" w:eastAsia="zh-CN"/>
        </w:rPr>
        <w:t>城乡建设日益完善。</w:t>
      </w:r>
      <w:r>
        <w:rPr>
          <w:rFonts w:hint="default" w:ascii="Times New Roman" w:hAnsi="Times New Roman" w:eastAsia="仿宋_GB2312" w:cs="Times New Roman"/>
          <w:color w:val="auto"/>
          <w:sz w:val="32"/>
          <w:szCs w:val="32"/>
          <w:u w:val="none"/>
          <w:lang w:val="zh-TW" w:eastAsia="zh-CN"/>
        </w:rPr>
        <w:t>大力推进重点交通基础设施项目建设，加大</w:t>
      </w:r>
      <w:r>
        <w:rPr>
          <w:rFonts w:hint="default" w:ascii="Times New Roman" w:hAnsi="Times New Roman" w:eastAsia="仿宋_GB2312" w:cs="Times New Roman"/>
          <w:color w:val="auto"/>
          <w:sz w:val="32"/>
          <w:szCs w:val="32"/>
          <w:u w:val="none"/>
          <w:lang w:val="en-US" w:eastAsia="zh-CN"/>
        </w:rPr>
        <w:t>雁山镇玉圭园至园博园公路（良丰一队至园博园大道段）、雁山竹江码头至321国道等13个交通项目建设力度，投入日常农村公路养护</w:t>
      </w:r>
      <w:r>
        <w:rPr>
          <w:rFonts w:hint="default" w:ascii="Times New Roman" w:hAnsi="Times New Roman" w:eastAsia="仿宋_GB2312" w:cs="Times New Roman"/>
          <w:color w:val="auto"/>
          <w:sz w:val="32"/>
          <w:szCs w:val="32"/>
          <w:u w:val="none"/>
          <w:lang w:val="zh-CN" w:eastAsia="zh-CN"/>
        </w:rPr>
        <w:t>管理</w:t>
      </w:r>
      <w:r>
        <w:rPr>
          <w:rFonts w:hint="default" w:ascii="Times New Roman" w:hAnsi="Times New Roman" w:eastAsia="仿宋_GB2312" w:cs="Times New Roman"/>
          <w:color w:val="auto"/>
          <w:sz w:val="32"/>
          <w:szCs w:val="32"/>
          <w:u w:val="none"/>
          <w:lang w:val="en-US" w:eastAsia="zh-CN"/>
        </w:rPr>
        <w:t>经费约56.</w:t>
      </w:r>
      <w:r>
        <w:rPr>
          <w:rFonts w:hint="default" w:ascii="Times New Roman" w:hAnsi="Times New Roman" w:cs="Times New Roman"/>
          <w:color w:val="auto"/>
          <w:sz w:val="32"/>
          <w:szCs w:val="32"/>
          <w:u w:val="none"/>
          <w:lang w:val="en-US" w:eastAsia="zh-CN"/>
        </w:rPr>
        <w:t>47</w:t>
      </w:r>
      <w:r>
        <w:rPr>
          <w:rFonts w:hint="default" w:ascii="Times New Roman" w:hAnsi="Times New Roman" w:eastAsia="仿宋_GB2312" w:cs="Times New Roman"/>
          <w:color w:val="auto"/>
          <w:sz w:val="32"/>
          <w:szCs w:val="32"/>
          <w:u w:val="none"/>
          <w:lang w:val="en-US" w:eastAsia="zh-CN"/>
        </w:rPr>
        <w:t>万元；实现良丰河福山河整治工程、良丰河拱桥河清淤疏浚整治工程完工，</w:t>
      </w:r>
      <w:r>
        <w:rPr>
          <w:rFonts w:hint="default" w:ascii="Times New Roman" w:hAnsi="Times New Roman" w:eastAsia="仿宋_GB2312" w:cs="Times New Roman"/>
          <w:color w:val="auto"/>
          <w:sz w:val="32"/>
          <w:szCs w:val="32"/>
          <w:u w:val="none"/>
          <w:lang w:val="zh-TW" w:eastAsia="zh-CN"/>
        </w:rPr>
        <w:t>加快补齐雁山基础设施薄弱短板</w:t>
      </w:r>
      <w:r>
        <w:rPr>
          <w:rFonts w:hint="default" w:ascii="Times New Roman" w:hAnsi="Times New Roman" w:eastAsia="仿宋_GB2312" w:cs="Times New Roman"/>
          <w:color w:val="auto"/>
          <w:sz w:val="32"/>
          <w:szCs w:val="32"/>
          <w:u w:val="none"/>
          <w:lang w:val="en-US" w:eastAsia="zh-CN"/>
        </w:rPr>
        <w:t>。新增桂林市雁山区科教园控制性详细规划A片区防洪排涝工程、桂林市雁山君武幼儿园项目等5个项目入库海绵城市</w:t>
      </w:r>
      <w:r>
        <w:rPr>
          <w:rFonts w:hint="default" w:ascii="Times New Roman" w:hAnsi="Times New Roman" w:eastAsia="仿宋_GB2312" w:cs="Times New Roman"/>
          <w:color w:val="auto"/>
          <w:sz w:val="32"/>
          <w:szCs w:val="32"/>
          <w:u w:val="none"/>
          <w:lang w:val="zh-TW" w:eastAsia="zh-CN"/>
        </w:rPr>
        <w:t>。</w:t>
      </w:r>
    </w:p>
    <w:p w14:paraId="572670AB">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b/>
          <w:bCs/>
          <w:color w:val="auto"/>
          <w:sz w:val="32"/>
          <w:szCs w:val="32"/>
          <w:highlight w:val="none"/>
          <w:lang w:val="zh-TW" w:eastAsia="zh-CN"/>
        </w:rPr>
        <w:t>生态建设价值凸显。</w:t>
      </w:r>
      <w:r>
        <w:rPr>
          <w:rFonts w:hint="default" w:ascii="Times New Roman" w:hAnsi="Times New Roman" w:eastAsia="仿宋_GB2312" w:cs="Times New Roman"/>
          <w:color w:val="auto"/>
          <w:sz w:val="32"/>
          <w:szCs w:val="32"/>
          <w:u w:val="none"/>
          <w:lang w:val="zh-TW" w:eastAsia="zh-CN"/>
        </w:rPr>
        <w:t>坚持把保护</w:t>
      </w:r>
      <w:r>
        <w:rPr>
          <w:rFonts w:hint="default" w:ascii="Times New Roman" w:hAnsi="Times New Roman" w:cs="Times New Roman"/>
          <w:color w:val="auto"/>
          <w:sz w:val="32"/>
          <w:szCs w:val="32"/>
          <w:u w:val="none"/>
          <w:lang w:val="zh-TW" w:eastAsia="zh-CN"/>
        </w:rPr>
        <w:t>好</w:t>
      </w:r>
      <w:r>
        <w:rPr>
          <w:rFonts w:hint="default" w:ascii="Times New Roman" w:hAnsi="Times New Roman" w:eastAsia="仿宋_GB2312" w:cs="Times New Roman"/>
          <w:color w:val="auto"/>
          <w:sz w:val="32"/>
          <w:szCs w:val="32"/>
          <w:u w:val="none"/>
          <w:lang w:val="zh-TW" w:eastAsia="zh-CN"/>
        </w:rPr>
        <w:t>漓江、保护</w:t>
      </w:r>
      <w:r>
        <w:rPr>
          <w:rFonts w:hint="default" w:ascii="Times New Roman" w:hAnsi="Times New Roman" w:cs="Times New Roman"/>
          <w:color w:val="auto"/>
          <w:sz w:val="32"/>
          <w:szCs w:val="32"/>
          <w:u w:val="none"/>
          <w:lang w:val="zh-TW" w:eastAsia="zh-CN"/>
        </w:rPr>
        <w:t>好</w:t>
      </w:r>
      <w:r>
        <w:rPr>
          <w:rFonts w:hint="default" w:ascii="Times New Roman" w:hAnsi="Times New Roman" w:eastAsia="仿宋_GB2312" w:cs="Times New Roman"/>
          <w:color w:val="auto"/>
          <w:sz w:val="32"/>
          <w:szCs w:val="32"/>
          <w:u w:val="none"/>
          <w:lang w:val="zh-TW" w:eastAsia="zh-CN"/>
        </w:rPr>
        <w:t>桂林</w:t>
      </w:r>
      <w:r>
        <w:rPr>
          <w:rFonts w:hint="default" w:ascii="Times New Roman" w:hAnsi="Times New Roman" w:cs="Times New Roman"/>
          <w:color w:val="auto"/>
          <w:sz w:val="32"/>
          <w:szCs w:val="32"/>
          <w:u w:val="none"/>
          <w:lang w:val="zh-TW" w:eastAsia="zh-CN"/>
        </w:rPr>
        <w:t>山水</w:t>
      </w:r>
      <w:r>
        <w:rPr>
          <w:rFonts w:hint="default" w:ascii="Times New Roman" w:hAnsi="Times New Roman" w:eastAsia="仿宋_GB2312" w:cs="Times New Roman"/>
          <w:color w:val="auto"/>
          <w:sz w:val="32"/>
          <w:szCs w:val="32"/>
          <w:u w:val="none"/>
          <w:lang w:val="zh-TW" w:eastAsia="zh-CN"/>
        </w:rPr>
        <w:t>放在首位，高标准打好污染防治攻坚战。</w:t>
      </w:r>
      <w:r>
        <w:rPr>
          <w:rFonts w:hint="default" w:ascii="Times New Roman" w:hAnsi="Times New Roman" w:eastAsia="仿宋_GB2312" w:cs="Times New Roman"/>
          <w:color w:val="auto"/>
          <w:sz w:val="32"/>
          <w:szCs w:val="32"/>
          <w:u w:val="none"/>
          <w:lang w:val="en-US" w:eastAsia="zh-CN"/>
        </w:rPr>
        <w:t>大力实施生态基础设施建设攻坚，推进南湾河、良丰河以及漓江岸线的生态修复，补齐污水管网短板。强化入河排口日常巡查监管和黑臭水体排查，推动3个超标排污口整改。制定《桂林市雁山区2024年春节烟花爆竹禁燃限放安全管控工作方案》，</w:t>
      </w:r>
      <w:r>
        <w:rPr>
          <w:rFonts w:hint="default" w:ascii="Times New Roman" w:hAnsi="Times New Roman" w:eastAsia="仿宋_GB2312" w:cs="Times New Roman"/>
          <w:color w:val="auto"/>
          <w:sz w:val="32"/>
          <w:szCs w:val="32"/>
          <w:u w:val="none"/>
          <w:lang w:val="zh-TW" w:eastAsia="zh-CN"/>
        </w:rPr>
        <w:t>检查涉</w:t>
      </w:r>
      <w:r>
        <w:rPr>
          <w:rFonts w:hint="default" w:ascii="Times New Roman" w:hAnsi="Times New Roman" w:eastAsia="仿宋_GB2312" w:cs="Times New Roman"/>
          <w:color w:val="auto"/>
          <w:sz w:val="32"/>
          <w:szCs w:val="32"/>
          <w:u w:val="none"/>
          <w:lang w:val="en-US" w:eastAsia="zh-CN"/>
        </w:rPr>
        <w:t>VOCS企业5家，整改问题3个；处置露天焚烧火点769个。</w:t>
      </w:r>
      <w:r>
        <w:rPr>
          <w:rFonts w:hint="default" w:ascii="Times New Roman" w:hAnsi="Times New Roman" w:eastAsia="仿宋_GB2312" w:cs="Times New Roman"/>
          <w:color w:val="auto"/>
          <w:sz w:val="32"/>
          <w:szCs w:val="32"/>
          <w:u w:val="none"/>
          <w:lang w:val="zh-TW" w:eastAsia="zh-CN"/>
        </w:rPr>
        <w:t>今年我区</w:t>
      </w:r>
      <w:r>
        <w:rPr>
          <w:rFonts w:hint="default" w:ascii="Times New Roman" w:hAnsi="Times New Roman" w:eastAsia="仿宋_GB2312" w:cs="Times New Roman"/>
          <w:color w:val="auto"/>
          <w:sz w:val="32"/>
          <w:szCs w:val="32"/>
          <w:u w:val="none"/>
          <w:lang w:val="en-US" w:eastAsia="zh-CN"/>
        </w:rPr>
        <w:t>环境质量优良天数比例为96.7%，综合指数排五城区第一。新建农村污水处理设施4套，全区农村生活污水治理率达71.4%，高于自治区和桂林市平均水平。主要河流和集中式饮水水源地水质继续保持100%达标率，为守护漓江生态建设美丽桂林交出雁山答卷。</w:t>
      </w:r>
    </w:p>
    <w:p w14:paraId="54CF481A">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b/>
          <w:bCs/>
          <w:color w:val="auto"/>
          <w:sz w:val="32"/>
          <w:szCs w:val="32"/>
          <w:highlight w:val="none"/>
          <w:lang w:val="en-US" w:eastAsia="zh-CN"/>
        </w:rPr>
        <w:t>营商环境持续优化。</w:t>
      </w:r>
      <w:r>
        <w:rPr>
          <w:rFonts w:hint="default" w:ascii="Times New Roman" w:hAnsi="Times New Roman" w:eastAsia="仿宋_GB2312" w:cs="Times New Roman"/>
          <w:color w:val="auto"/>
          <w:sz w:val="32"/>
          <w:szCs w:val="32"/>
          <w:u w:val="none"/>
          <w:lang w:val="en-US" w:eastAsia="zh-CN"/>
        </w:rPr>
        <w:t>深入推进“高效办成一件事”“证照分离”</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4</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sz w:val="32"/>
          <w:szCs w:val="32"/>
          <w:u w:val="none"/>
          <w:lang w:val="en-US" w:eastAsia="zh-CN"/>
        </w:rPr>
        <w:t>“一网通办”</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5</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sz w:val="32"/>
          <w:szCs w:val="32"/>
          <w:u w:val="none"/>
          <w:lang w:val="en-US" w:eastAsia="zh-CN"/>
        </w:rPr>
        <w:t>等各项改革工作，推进政务服务“三减一增”</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6</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sz w:val="32"/>
          <w:szCs w:val="32"/>
          <w:u w:val="none"/>
          <w:lang w:val="en-US" w:eastAsia="zh-CN"/>
        </w:rPr>
        <w:t>工作落实。对照上级要求制定《桂林市雁山区优化营商环境任务清单》</w:t>
      </w:r>
      <w:r>
        <w:rPr>
          <w:rFonts w:hint="default" w:ascii="Times New Roman" w:hAnsi="Times New Roman" w:eastAsia="仿宋_GB2312" w:cs="Times New Roman"/>
          <w:color w:val="auto"/>
          <w:sz w:val="32"/>
          <w:szCs w:val="32"/>
          <w:u w:val="none"/>
          <w:lang w:val="zh-TW" w:eastAsia="zh-CN"/>
        </w:rPr>
        <w:t>《雁山区政法机关优化法治化营商环境工作实施方案》。</w:t>
      </w:r>
      <w:r>
        <w:rPr>
          <w:rFonts w:hint="default" w:ascii="Times New Roman" w:hAnsi="Times New Roman" w:eastAsia="仿宋_GB2312" w:cs="Times New Roman"/>
          <w:color w:val="auto"/>
          <w:sz w:val="32"/>
          <w:szCs w:val="32"/>
          <w:u w:val="none"/>
          <w:lang w:val="en-US" w:eastAsia="zh-CN"/>
        </w:rPr>
        <w:t>10月1日起，我区新开办企业刻章费用由400元/4枚，下调至360元/5枚，成本进一步降低。全面推进“一窗受理”（无差别）改革，实现577项政务服务事项一窗（无差别）受理，一窗受理率达100%。预计全年营商环境综合得分89.75</w:t>
      </w:r>
      <w:r>
        <w:rPr>
          <w:rFonts w:hint="default" w:ascii="Times New Roman" w:hAnsi="Times New Roman" w:cs="Times New Roman"/>
          <w:color w:val="auto"/>
          <w:sz w:val="32"/>
          <w:szCs w:val="32"/>
          <w:u w:val="none"/>
          <w:lang w:val="en-US" w:eastAsia="zh-CN"/>
        </w:rPr>
        <w:t>分</w:t>
      </w:r>
      <w:r>
        <w:rPr>
          <w:rFonts w:hint="default" w:ascii="Times New Roman" w:hAnsi="Times New Roman" w:eastAsia="仿宋_GB2312" w:cs="Times New Roman"/>
          <w:color w:val="auto"/>
          <w:sz w:val="32"/>
          <w:szCs w:val="32"/>
          <w:u w:val="none"/>
          <w:lang w:val="en-US" w:eastAsia="zh-CN"/>
        </w:rPr>
        <w:t>，在自治区41个市辖区中排第33位，较上年提升7个名次。</w:t>
      </w:r>
    </w:p>
    <w:p w14:paraId="756100B6">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（三）瞄准方向精准发力，区域融合发展稳中向好</w:t>
      </w:r>
    </w:p>
    <w:p w14:paraId="417B1962">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b/>
          <w:bCs/>
          <w:color w:val="auto"/>
          <w:kern w:val="2"/>
          <w:sz w:val="32"/>
          <w:szCs w:val="32"/>
          <w:highlight w:val="none"/>
          <w:lang w:val="en-US" w:eastAsia="zh-CN" w:bidi="ar-SA"/>
        </w:rPr>
        <w:t>项目要素全面夯实</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u w:val="none"/>
          <w:lang w:val="en-US" w:eastAsia="zh-CN"/>
        </w:rPr>
        <w:t>今年我区自治区层面</w:t>
      </w:r>
      <w:r>
        <w:rPr>
          <w:rFonts w:hint="default" w:ascii="Times New Roman" w:hAnsi="Times New Roman" w:cs="Times New Roman"/>
          <w:color w:val="auto"/>
          <w:sz w:val="32"/>
          <w:szCs w:val="32"/>
          <w:u w:val="none"/>
          <w:lang w:val="en-US" w:eastAsia="zh-CN"/>
        </w:rPr>
        <w:t>统筹推进</w:t>
      </w:r>
      <w:r>
        <w:rPr>
          <w:rFonts w:hint="default" w:ascii="Times New Roman" w:hAnsi="Times New Roman" w:eastAsia="仿宋_GB2312" w:cs="Times New Roman"/>
          <w:color w:val="auto"/>
          <w:sz w:val="32"/>
          <w:szCs w:val="32"/>
          <w:u w:val="none"/>
          <w:lang w:val="en-US" w:eastAsia="zh-CN"/>
        </w:rPr>
        <w:t>重大项目7个，累计完成投资</w:t>
      </w:r>
      <w:r>
        <w:rPr>
          <w:rFonts w:hint="default" w:ascii="Times New Roman" w:hAnsi="Times New Roman" w:cs="Times New Roman"/>
          <w:color w:val="auto"/>
          <w:sz w:val="32"/>
          <w:szCs w:val="32"/>
          <w:u w:val="none"/>
          <w:lang w:val="en-US" w:eastAsia="zh-CN"/>
        </w:rPr>
        <w:t>5.00</w:t>
      </w:r>
      <w:r>
        <w:rPr>
          <w:rFonts w:hint="default" w:ascii="Times New Roman" w:hAnsi="Times New Roman" w:eastAsia="仿宋_GB2312" w:cs="Times New Roman"/>
          <w:color w:val="auto"/>
          <w:sz w:val="32"/>
          <w:szCs w:val="32"/>
          <w:u w:val="none"/>
          <w:lang w:val="en-US" w:eastAsia="zh-CN"/>
        </w:rPr>
        <w:t>亿元</w:t>
      </w:r>
      <w:r>
        <w:rPr>
          <w:rFonts w:hint="default" w:ascii="Times New Roman" w:hAnsi="Times New Roman"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市层面</w:t>
      </w:r>
      <w:r>
        <w:rPr>
          <w:rFonts w:hint="default" w:ascii="Times New Roman" w:hAnsi="Times New Roman" w:cs="Times New Roman"/>
          <w:color w:val="auto"/>
          <w:sz w:val="32"/>
          <w:szCs w:val="32"/>
          <w:u w:val="none"/>
          <w:lang w:val="en-US" w:eastAsia="zh-CN"/>
        </w:rPr>
        <w:t>统筹推进</w:t>
      </w:r>
      <w:r>
        <w:rPr>
          <w:rFonts w:hint="default" w:ascii="Times New Roman" w:hAnsi="Times New Roman" w:eastAsia="仿宋_GB2312" w:cs="Times New Roman"/>
          <w:color w:val="auto"/>
          <w:sz w:val="32"/>
          <w:szCs w:val="32"/>
          <w:u w:val="none"/>
          <w:lang w:val="en-US" w:eastAsia="zh-CN"/>
        </w:rPr>
        <w:t>重大项目27个，累计完成投资</w:t>
      </w:r>
      <w:r>
        <w:rPr>
          <w:rFonts w:hint="default" w:ascii="Times New Roman" w:hAnsi="Times New Roman" w:cs="Times New Roman"/>
          <w:color w:val="auto"/>
          <w:sz w:val="32"/>
          <w:szCs w:val="32"/>
          <w:u w:val="none"/>
          <w:lang w:val="en-US" w:eastAsia="zh-CN"/>
        </w:rPr>
        <w:t>6.88</w:t>
      </w:r>
      <w:r>
        <w:rPr>
          <w:rFonts w:hint="default" w:ascii="Times New Roman" w:hAnsi="Times New Roman" w:eastAsia="仿宋_GB2312" w:cs="Times New Roman"/>
          <w:color w:val="auto"/>
          <w:sz w:val="32"/>
          <w:szCs w:val="32"/>
          <w:u w:val="none"/>
          <w:lang w:val="en-US" w:eastAsia="zh-CN"/>
        </w:rPr>
        <w:t>亿元；雁山区层面重点推进重大项目27个，累计完成投资</w:t>
      </w:r>
      <w:r>
        <w:rPr>
          <w:rFonts w:hint="default" w:ascii="Times New Roman" w:hAnsi="Times New Roman" w:cs="Times New Roman"/>
          <w:color w:val="auto"/>
          <w:sz w:val="32"/>
          <w:szCs w:val="32"/>
          <w:u w:val="none"/>
          <w:lang w:val="en-US" w:eastAsia="zh-CN"/>
        </w:rPr>
        <w:t>7.39</w:t>
      </w:r>
      <w:r>
        <w:rPr>
          <w:rFonts w:hint="default" w:ascii="Times New Roman" w:hAnsi="Times New Roman" w:eastAsia="仿宋_GB2312" w:cs="Times New Roman"/>
          <w:color w:val="auto"/>
          <w:sz w:val="32"/>
          <w:szCs w:val="32"/>
          <w:u w:val="none"/>
          <w:lang w:val="en-US" w:eastAsia="zh-CN"/>
        </w:rPr>
        <w:t>亿元。实现市层面重大项目新开工3个，竣工验收项目2个。统筹谋划储备项目</w:t>
      </w:r>
      <w:r>
        <w:rPr>
          <w:rFonts w:hint="default" w:ascii="Times New Roman" w:hAnsi="Times New Roman" w:cs="Times New Roman"/>
          <w:color w:val="auto"/>
          <w:sz w:val="32"/>
          <w:szCs w:val="32"/>
          <w:u w:val="none"/>
          <w:lang w:val="en-US" w:eastAsia="zh-CN"/>
        </w:rPr>
        <w:t>49</w:t>
      </w:r>
      <w:r>
        <w:rPr>
          <w:rFonts w:hint="default" w:ascii="Times New Roman" w:hAnsi="Times New Roman" w:eastAsia="仿宋_GB2312" w:cs="Times New Roman"/>
          <w:color w:val="auto"/>
          <w:sz w:val="32"/>
          <w:szCs w:val="32"/>
          <w:u w:val="none"/>
          <w:lang w:val="en-US" w:eastAsia="zh-CN"/>
        </w:rPr>
        <w:t>个（含2023年结转</w:t>
      </w:r>
      <w:r>
        <w:rPr>
          <w:rFonts w:hint="default" w:ascii="Times New Roman" w:hAnsi="Times New Roman"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个），总投资约</w:t>
      </w:r>
      <w:r>
        <w:rPr>
          <w:rFonts w:hint="default" w:ascii="Times New Roman" w:hAnsi="Times New Roman" w:cs="Times New Roman"/>
          <w:color w:val="auto"/>
          <w:sz w:val="32"/>
          <w:szCs w:val="32"/>
          <w:u w:val="none"/>
          <w:lang w:val="en-US" w:eastAsia="zh-CN"/>
        </w:rPr>
        <w:t>120.73</w:t>
      </w:r>
      <w:r>
        <w:rPr>
          <w:rFonts w:hint="default" w:ascii="Times New Roman" w:hAnsi="Times New Roman" w:eastAsia="仿宋_GB2312" w:cs="Times New Roman"/>
          <w:color w:val="auto"/>
          <w:sz w:val="32"/>
          <w:szCs w:val="32"/>
          <w:u w:val="none"/>
          <w:lang w:val="en-US" w:eastAsia="zh-CN"/>
        </w:rPr>
        <w:t>亿元。获得各类上级补助资金共2.49亿元。</w:t>
      </w:r>
    </w:p>
    <w:p w14:paraId="3CD0BBC6">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cs="Times New Roman"/>
          <w:b/>
          <w:bCs/>
          <w:color w:val="auto"/>
          <w:kern w:val="2"/>
          <w:sz w:val="32"/>
          <w:szCs w:val="32"/>
          <w:highlight w:val="none"/>
          <w:lang w:val="en-US" w:eastAsia="zh-CN" w:bidi="ar-SA"/>
        </w:rPr>
        <w:t>项目建设稳步推进。</w:t>
      </w:r>
      <w:r>
        <w:rPr>
          <w:rFonts w:hint="default" w:ascii="Times New Roman" w:hAnsi="Times New Roman" w:eastAsia="仿宋_GB2312" w:cs="Times New Roman"/>
          <w:color w:val="auto"/>
          <w:sz w:val="32"/>
          <w:szCs w:val="32"/>
          <w:u w:val="none"/>
          <w:lang w:val="en-US" w:eastAsia="zh-CN"/>
        </w:rPr>
        <w:t>广西师范大学附属外国语学校（校本部）迁建工程一期于8月全部完工并交付使用，配套项目君武路、学府二道、学府三道、雁鸿路已竣工</w:t>
      </w:r>
      <w:r>
        <w:rPr>
          <w:rFonts w:hint="default" w:ascii="Times New Roman" w:hAnsi="Times New Roman" w:cs="Times New Roman"/>
          <w:color w:val="auto"/>
          <w:sz w:val="32"/>
          <w:szCs w:val="32"/>
          <w:u w:val="none"/>
          <w:lang w:val="en-US" w:eastAsia="zh-CN"/>
        </w:rPr>
        <w:t>通车</w:t>
      </w:r>
      <w:r>
        <w:rPr>
          <w:rFonts w:hint="default" w:ascii="Times New Roman" w:hAnsi="Times New Roman" w:eastAsia="仿宋_GB2312" w:cs="Times New Roman"/>
          <w:color w:val="auto"/>
          <w:sz w:val="32"/>
          <w:szCs w:val="32"/>
          <w:u w:val="none"/>
          <w:lang w:val="en-US" w:eastAsia="zh-CN"/>
        </w:rPr>
        <w:t>；自治区南溪山医院雁山院区内科门诊3月对外接诊，公共卫生应急救治中心主楼9月正式运营；桂林市雁山区罗汉果科研中心和示范基地项目已基本完工；招商孵化中心项目1、2、3号楼均实现封顶。桂林学院二期进展顺利，第一阶段施工进入尾声。</w:t>
      </w:r>
    </w:p>
    <w:p w14:paraId="665D0178">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招商引资多头并进。</w:t>
      </w:r>
      <w:r>
        <w:rPr>
          <w:rFonts w:hint="default" w:ascii="Times New Roman" w:hAnsi="Times New Roman" w:eastAsia="仿宋_GB2312" w:cs="Times New Roman"/>
          <w:color w:val="auto"/>
          <w:sz w:val="32"/>
          <w:szCs w:val="32"/>
          <w:u w:val="none"/>
          <w:lang w:val="en-US" w:eastAsia="zh-CN"/>
        </w:rPr>
        <w:t>按照“大项目+产业链+产业集群+产业基地”工作思路，重点围绕布局的绿色化工新材料、食品加工、大健康和文旅等产业链进行招商，区委、区政府主要负责同志带头抓招商、访企业、谋项目，多次赴长三角、珠三角等地区洽谈推进重点招商项目落地，开展招商30余次，“面对面”对接企业、协会等110多家；组织项目座谈和推介会8次；考察对接企业20多家，今年我区新签约项目9个，其中4个已实现开工。新签约项目总投资额44.9亿元，完成年度目标任务的172.</w:t>
      </w:r>
      <w:r>
        <w:rPr>
          <w:rFonts w:hint="default" w:ascii="Times New Roman" w:hAnsi="Times New Roman"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val="en-US" w:eastAsia="zh-CN"/>
        </w:rPr>
        <w:t>%。</w:t>
      </w:r>
    </w:p>
    <w:p w14:paraId="0F420A4A">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（四）全力办好群众身边事，社会民生得到有效保障</w:t>
      </w:r>
    </w:p>
    <w:p w14:paraId="54EC609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35" w:firstLineChars="200"/>
        <w:contextualSpacing/>
        <w:textAlignment w:val="auto"/>
        <w:rPr>
          <w:rFonts w:hint="default" w:ascii="Times New Roman" w:hAnsi="Times New Roman" w:eastAsia="仿宋_GB2312" w:cs="Times New Roman"/>
          <w:color w:val="auto"/>
          <w:szCs w:val="32"/>
          <w:highlight w:val="none"/>
          <w:lang w:val="en-US" w:eastAsia="zh-CN"/>
        </w:rPr>
      </w:pPr>
      <w:r>
        <w:rPr>
          <w:rStyle w:val="29"/>
          <w:rFonts w:hint="default" w:ascii="Times New Roman" w:hAnsi="Times New Roman" w:eastAsia="仿宋_GB2312" w:cs="Times New Roman"/>
          <w:b/>
          <w:color w:val="auto"/>
          <w:spacing w:val="-2"/>
          <w:szCs w:val="32"/>
          <w:highlight w:val="none"/>
          <w:lang w:eastAsia="zh-CN"/>
        </w:rPr>
        <w:t>社会保障坚实有力</w:t>
      </w:r>
      <w:r>
        <w:rPr>
          <w:rStyle w:val="29"/>
          <w:rFonts w:hint="default" w:ascii="Times New Roman" w:hAnsi="Times New Roman" w:cs="Times New Roman"/>
          <w:b/>
          <w:color w:val="auto"/>
          <w:spacing w:val="-2"/>
          <w:szCs w:val="32"/>
          <w:highlight w:val="none"/>
          <w:lang w:eastAsia="zh-CN"/>
        </w:rPr>
        <w:t>。</w:t>
      </w:r>
      <w:r>
        <w:rPr>
          <w:rFonts w:hint="default" w:ascii="Times New Roman" w:hAnsi="Times New Roman" w:eastAsia="仿宋_GB2312" w:cs="Times New Roman"/>
          <w:color w:val="auto"/>
          <w:sz w:val="32"/>
          <w:szCs w:val="32"/>
          <w:u w:val="none"/>
          <w:lang w:val="en-US" w:eastAsia="zh-CN"/>
        </w:rPr>
        <w:t>2024年全区民生支出5.04亿元，占一般公共预算支出比重达79.</w:t>
      </w:r>
      <w:r>
        <w:rPr>
          <w:rFonts w:hint="default" w:ascii="Times New Roman" w:hAnsi="Times New Roman"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w:t>
      </w:r>
    </w:p>
    <w:p w14:paraId="699C2A81">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kern w:val="2"/>
          <w:szCs w:val="32"/>
          <w:highlight w:val="none"/>
          <w:lang w:val="en-US" w:eastAsia="zh-CN" w:bidi="ar-SA"/>
        </w:rPr>
        <w:t>教育事业</w:t>
      </w:r>
      <w:r>
        <w:rPr>
          <w:rFonts w:hint="default" w:ascii="Times New Roman" w:hAnsi="Times New Roman" w:eastAsia="仿宋_GB2312" w:cs="Times New Roman"/>
          <w:b/>
          <w:bCs w:val="0"/>
          <w:color w:val="auto"/>
          <w:szCs w:val="32"/>
          <w:highlight w:val="none"/>
        </w:rPr>
        <w:t>均衡发展</w:t>
      </w:r>
      <w:r>
        <w:rPr>
          <w:rFonts w:hint="default" w:ascii="Times New Roman" w:hAnsi="Times New Roman" w:eastAsia="仿宋_GB2312" w:cs="Times New Roman"/>
          <w:b/>
          <w:bCs w:val="0"/>
          <w:color w:val="auto"/>
          <w:kern w:val="2"/>
          <w:szCs w:val="32"/>
          <w:highlight w:val="none"/>
          <w:lang w:val="en-US" w:eastAsia="zh-CN" w:bidi="ar-SA"/>
        </w:rPr>
        <w:t>。</w:t>
      </w:r>
      <w:r>
        <w:rPr>
          <w:rFonts w:hint="default" w:ascii="Times New Roman" w:hAnsi="Times New Roman" w:eastAsia="仿宋_GB2312" w:cs="Times New Roman"/>
          <w:color w:val="auto"/>
          <w:sz w:val="32"/>
          <w:szCs w:val="32"/>
          <w:u w:val="none"/>
          <w:lang w:val="en-US" w:eastAsia="zh-CN"/>
        </w:rPr>
        <w:t>筹措资金2926.5</w:t>
      </w:r>
      <w:r>
        <w:rPr>
          <w:rFonts w:hint="default" w:ascii="Times New Roman" w:hAnsi="Times New Roman"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万元，开展20个中小学校及幼儿园建设项目，其中19个项目已投入使用。投入约206万元深入推进教育信息化建设。积极推进示范幼儿园评估创建工作，大埠乡中心幼儿园“小手拉大手，学前教育助力乡村精神文明建设”教育实践做法成为入选教育部选送G20峰会教育部长论坛学前教育全国唯一案例。义务教育优质均衡发展县（区）创建工作顺利通过市级复核。示范性普通高中录取率提升至33%，普通高中录取资格线上线率提升至70%。深化教育综合改革，坚持五育融合，开展、参与各类活动赛事共计50余场，教师荣获市级以上各类荣誉190人次。新增全国优秀教师、自治区模范教师各1名，教师队伍由达标型向优质化转变。</w:t>
      </w:r>
    </w:p>
    <w:p w14:paraId="65245D9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kern w:val="2"/>
          <w:szCs w:val="32"/>
          <w:highlight w:val="none"/>
          <w:lang w:val="en-US" w:eastAsia="zh-CN" w:bidi="ar-SA"/>
        </w:rPr>
        <w:t>乡村振兴全面推进</w:t>
      </w:r>
      <w:r>
        <w:rPr>
          <w:rFonts w:hint="default" w:ascii="Times New Roman" w:hAnsi="Times New Roman" w:eastAsia="仿宋_GB2312" w:cs="Times New Roman"/>
          <w:b/>
          <w:bCs/>
          <w:color w:val="auto"/>
          <w:szCs w:val="32"/>
          <w:highlight w:val="none"/>
          <w:lang w:val="zh-TW" w:eastAsia="zh-CN"/>
        </w:rPr>
        <w:t>。</w:t>
      </w:r>
      <w:r>
        <w:rPr>
          <w:rFonts w:hint="default" w:ascii="Times New Roman" w:hAnsi="Times New Roman" w:eastAsia="仿宋_GB2312" w:cs="Times New Roman"/>
          <w:color w:val="auto"/>
          <w:sz w:val="32"/>
          <w:szCs w:val="32"/>
          <w:u w:val="none"/>
          <w:lang w:val="zh-TW" w:eastAsia="zh-CN"/>
        </w:rPr>
        <w:t>全年</w:t>
      </w:r>
      <w:r>
        <w:rPr>
          <w:rFonts w:hint="default" w:ascii="Times New Roman" w:hAnsi="Times New Roman" w:eastAsia="仿宋_GB2312" w:cs="Times New Roman"/>
          <w:color w:val="auto"/>
          <w:sz w:val="32"/>
          <w:szCs w:val="32"/>
          <w:u w:val="none"/>
          <w:lang w:val="en-US" w:eastAsia="zh-CN"/>
        </w:rPr>
        <w:t>发放各类补贴3000.21万元。我区连续五年荣获“综合评价好”等次。今年通过制定《2024年雁山区农村厕所革命整村推进工作实施方案》和户厕改造技术要点，坚持不懈推进农村“厕所革命”。扎实开展农房管控，严格执行村民建房“一户一宅”的规定，严禁“一户多宅”和超面积建房。与中国农业电影电视中心联合打造休闲农业乡村旅游指标宣传活动，大力发展“农业+旅游”、“农业+教学”等新模式，走出振兴新道路。</w:t>
      </w:r>
    </w:p>
    <w:p w14:paraId="7A1B656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bCs/>
          <w:color w:val="auto"/>
          <w:highlight w:val="none"/>
          <w:lang w:val="en-US" w:eastAsia="zh-CN"/>
        </w:rPr>
      </w:pPr>
      <w:r>
        <w:rPr>
          <w:rFonts w:hint="default" w:ascii="Times New Roman" w:hAnsi="Times New Roman" w:cs="Times New Roman"/>
          <w:b/>
          <w:bCs/>
          <w:color w:val="auto"/>
          <w:szCs w:val="32"/>
          <w:highlight w:val="none"/>
          <w:lang w:eastAsia="zh-CN"/>
        </w:rPr>
        <w:t>公共体系不断完善</w:t>
      </w:r>
      <w:r>
        <w:rPr>
          <w:rFonts w:hint="default" w:ascii="Times New Roman" w:hAnsi="Times New Roman" w:eastAsia="仿宋_GB2312" w:cs="Times New Roman"/>
          <w:b w:val="0"/>
          <w:bCs w:val="0"/>
          <w:color w:val="auto"/>
          <w:szCs w:val="32"/>
          <w:highlight w:val="none"/>
          <w:lang w:val="zh-TW" w:eastAsia="zh-CN"/>
        </w:rPr>
        <w:t>。</w:t>
      </w:r>
      <w:r>
        <w:rPr>
          <w:rFonts w:hint="default" w:ascii="Times New Roman" w:hAnsi="Times New Roman" w:eastAsia="仿宋_GB2312" w:cs="Times New Roman"/>
          <w:color w:val="auto"/>
          <w:sz w:val="32"/>
          <w:szCs w:val="32"/>
          <w:u w:val="none"/>
          <w:lang w:val="zh-TW" w:eastAsia="zh-CN"/>
        </w:rPr>
        <w:t>利用福彩公益金改善集中供养老人居住环境。</w:t>
      </w:r>
      <w:r>
        <w:rPr>
          <w:rFonts w:hint="default" w:ascii="Times New Roman" w:hAnsi="Times New Roman" w:eastAsia="仿宋_GB2312" w:cs="Times New Roman"/>
          <w:color w:val="auto"/>
          <w:sz w:val="32"/>
          <w:szCs w:val="32"/>
          <w:u w:val="none"/>
          <w:lang w:val="en-US" w:eastAsia="zh-CN"/>
        </w:rPr>
        <w:t>居家和社区基本养老服务提升行动项目如期完工并投入使用，全面提升老年人居家养老幸福指数。聚焦农民工、大学生等返雁、留雁求职群体，搭建双向需求平台，利用“赶圩日”等方式，成功举办各类招聘会12场，实现城镇新增就业718人，完成目标任务的111.8%。创建人才培育方式，举办各类技能培训40期，共1411人参与，真正实现引才留才育才。</w:t>
      </w:r>
    </w:p>
    <w:p w14:paraId="63B2B5E5">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Cs w:val="32"/>
          <w:highlight w:val="none"/>
          <w:lang w:val="zh-CN"/>
        </w:rPr>
        <w:t>医疗</w:t>
      </w:r>
      <w:r>
        <w:rPr>
          <w:rFonts w:hint="default" w:ascii="Times New Roman" w:hAnsi="Times New Roman" w:cs="Times New Roman"/>
          <w:b/>
          <w:bCs/>
          <w:color w:val="auto"/>
          <w:szCs w:val="32"/>
          <w:highlight w:val="none"/>
          <w:lang w:val="zh-CN"/>
        </w:rPr>
        <w:t>水平</w:t>
      </w:r>
      <w:r>
        <w:rPr>
          <w:rFonts w:hint="default" w:ascii="Times New Roman" w:hAnsi="Times New Roman" w:cs="Times New Roman"/>
          <w:b/>
          <w:bCs/>
          <w:color w:val="auto"/>
          <w:szCs w:val="32"/>
          <w:highlight w:val="none"/>
          <w:lang w:val="en-US" w:eastAsia="zh-CN"/>
        </w:rPr>
        <w:t>持续提升</w:t>
      </w:r>
      <w:r>
        <w:rPr>
          <w:rFonts w:hint="default" w:ascii="Times New Roman" w:hAnsi="Times New Roman" w:eastAsia="仿宋_GB2312" w:cs="Times New Roman"/>
          <w:b/>
          <w:bCs/>
          <w:color w:val="auto"/>
          <w:szCs w:val="32"/>
          <w:highlight w:val="none"/>
          <w:lang w:eastAsia="zh-CN"/>
        </w:rPr>
        <w:t>。</w:t>
      </w:r>
      <w:r>
        <w:rPr>
          <w:rFonts w:hint="default" w:ascii="Times New Roman" w:hAnsi="Times New Roman" w:eastAsia="仿宋_GB2312" w:cs="Times New Roman"/>
          <w:color w:val="auto"/>
          <w:sz w:val="32"/>
          <w:szCs w:val="32"/>
          <w:u w:val="none"/>
          <w:lang w:val="zh-CN" w:eastAsia="zh-CN"/>
        </w:rPr>
        <w:t>雁山区中心卫生院</w:t>
      </w:r>
      <w:r>
        <w:rPr>
          <w:rFonts w:hint="default" w:ascii="Times New Roman" w:hAnsi="Times New Roman" w:eastAsia="仿宋_GB2312" w:cs="Times New Roman"/>
          <w:color w:val="auto"/>
          <w:sz w:val="32"/>
          <w:szCs w:val="32"/>
          <w:u w:val="none"/>
          <w:lang w:val="en-US" w:eastAsia="zh-CN"/>
        </w:rPr>
        <w:t>1-3#楼正式</w:t>
      </w:r>
      <w:r>
        <w:rPr>
          <w:rFonts w:hint="default" w:ascii="Times New Roman" w:hAnsi="Times New Roman" w:eastAsia="仿宋_GB2312" w:cs="Times New Roman"/>
          <w:color w:val="auto"/>
          <w:sz w:val="32"/>
          <w:szCs w:val="32"/>
          <w:u w:val="none"/>
          <w:lang w:val="zh-CN" w:eastAsia="zh-CN"/>
        </w:rPr>
        <w:t>揭牌使用，南溪山医院雁山院区项目进展顺利。开展</w:t>
      </w:r>
      <w:r>
        <w:rPr>
          <w:rFonts w:hint="default" w:ascii="Times New Roman" w:hAnsi="Times New Roman" w:eastAsia="仿宋_GB2312" w:cs="Times New Roman"/>
          <w:color w:val="auto"/>
          <w:sz w:val="32"/>
          <w:szCs w:val="32"/>
          <w:u w:val="none"/>
          <w:lang w:val="zh-TW" w:eastAsia="zh-CN"/>
        </w:rPr>
        <w:t>基层医疗卫生服务能力提升活动，加强基层医疗卫生机构特色科室建设，全面实行绩优绩酬新政策，全面提升医疗卫生水平。</w:t>
      </w:r>
      <w:r>
        <w:rPr>
          <w:rFonts w:hint="default" w:ascii="Times New Roman" w:hAnsi="Times New Roman" w:eastAsia="仿宋_GB2312" w:cs="Times New Roman"/>
          <w:color w:val="auto"/>
          <w:sz w:val="32"/>
          <w:szCs w:val="32"/>
          <w:u w:val="none"/>
          <w:lang w:val="en-US" w:eastAsia="zh-CN"/>
        </w:rPr>
        <w:t>开展医保码推广应用服务活动，实现“码上结算”提升便利性。</w:t>
      </w:r>
      <w:r>
        <w:rPr>
          <w:rFonts w:hint="default" w:ascii="Times New Roman" w:hAnsi="Times New Roman" w:eastAsia="仿宋_GB2312" w:cs="Times New Roman"/>
          <w:color w:val="auto"/>
          <w:sz w:val="32"/>
          <w:szCs w:val="32"/>
          <w:u w:val="none"/>
          <w:lang w:val="zh-TW" w:eastAsia="zh-CN"/>
        </w:rPr>
        <w:t>居民规范化电子健康档案覆盖率达</w:t>
      </w:r>
      <w:r>
        <w:rPr>
          <w:rFonts w:hint="default" w:ascii="Times New Roman" w:hAnsi="Times New Roman" w:eastAsia="仿宋_GB2312" w:cs="Times New Roman"/>
          <w:color w:val="auto"/>
          <w:sz w:val="32"/>
          <w:szCs w:val="32"/>
          <w:u w:val="none"/>
          <w:lang w:val="en-US" w:eastAsia="zh-CN"/>
        </w:rPr>
        <w:t>83.7</w:t>
      </w:r>
      <w:r>
        <w:rPr>
          <w:rFonts w:hint="default" w:ascii="Times New Roman" w:hAnsi="Times New Roman" w:eastAsia="仿宋_GB2312" w:cs="Times New Roman"/>
          <w:color w:val="auto"/>
          <w:sz w:val="32"/>
          <w:szCs w:val="32"/>
          <w:u w:val="none"/>
          <w:lang w:val="zh-TW" w:eastAsia="zh-CN"/>
        </w:rPr>
        <w:t>%。</w:t>
      </w:r>
      <w:r>
        <w:rPr>
          <w:rFonts w:hint="default" w:ascii="Times New Roman" w:hAnsi="Times New Roman" w:eastAsia="仿宋_GB2312" w:cs="Times New Roman"/>
          <w:color w:val="auto"/>
          <w:sz w:val="32"/>
          <w:szCs w:val="32"/>
          <w:u w:val="none"/>
          <w:lang w:val="en-US" w:eastAsia="zh-CN"/>
        </w:rPr>
        <w:t>2024年度艾滋病病毒抗体筛查检测工作任务完成率达100%。</w:t>
      </w:r>
    </w:p>
    <w:p w14:paraId="5EF3F99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val="0"/>
          <w:color w:val="auto"/>
          <w:kern w:val="2"/>
          <w:szCs w:val="32"/>
          <w:highlight w:val="none"/>
          <w:lang w:val="en-US" w:eastAsia="zh-CN" w:bidi="ar-SA"/>
        </w:rPr>
        <w:t>社会治理和谐稳定。</w:t>
      </w:r>
      <w:r>
        <w:rPr>
          <w:rFonts w:hint="default" w:ascii="Times New Roman" w:hAnsi="Times New Roman" w:eastAsia="仿宋_GB2312" w:cs="Times New Roman"/>
          <w:color w:val="auto"/>
          <w:sz w:val="32"/>
          <w:szCs w:val="32"/>
          <w:u w:val="none"/>
          <w:lang w:val="zh-CN" w:eastAsia="zh-CN"/>
        </w:rPr>
        <w:t>重拳打击各类突出违法犯罪，制定《关于欺压百姓、侵占集体利益等“村霸”“街霸”“矿霸”“沙霸”“林霸”涉黑涉恶问题专项整治行动工作方案》，进一步深化“党建+网格+大数据”网格治理，织密村、社区治理“防护网”。今年我区</w:t>
      </w:r>
      <w:r>
        <w:rPr>
          <w:rFonts w:hint="default" w:ascii="Times New Roman" w:hAnsi="Times New Roman" w:eastAsia="仿宋_GB2312" w:cs="Times New Roman"/>
          <w:color w:val="auto"/>
          <w:sz w:val="32"/>
          <w:szCs w:val="32"/>
          <w:u w:val="none"/>
          <w:lang w:val="en-US" w:eastAsia="zh-CN"/>
        </w:rPr>
        <w:t>获</w:t>
      </w:r>
      <w:r>
        <w:rPr>
          <w:rFonts w:hint="default" w:ascii="Times New Roman" w:hAnsi="Times New Roman" w:eastAsia="仿宋_GB2312" w:cs="Times New Roman"/>
          <w:color w:val="auto"/>
          <w:sz w:val="32"/>
          <w:szCs w:val="32"/>
          <w:u w:val="none"/>
          <w:lang w:val="zh-CN" w:eastAsia="zh-CN"/>
        </w:rPr>
        <w:t>广</w:t>
      </w:r>
      <w:r>
        <w:rPr>
          <w:rFonts w:hint="default" w:ascii="Times New Roman" w:hAnsi="Times New Roman" w:eastAsia="仿宋_GB2312" w:cs="Times New Roman"/>
          <w:color w:val="auto"/>
          <w:sz w:val="32"/>
          <w:szCs w:val="32"/>
          <w:u w:val="none"/>
          <w:lang w:val="en-US" w:eastAsia="zh-CN"/>
        </w:rPr>
        <w:t>西首届八桂应急先锋社区响应队技能培训暨比武中荣获总比武第一名，</w:t>
      </w:r>
      <w:r>
        <w:rPr>
          <w:rFonts w:hint="default" w:ascii="Times New Roman" w:hAnsi="Times New Roman" w:eastAsia="仿宋_GB2312" w:cs="Times New Roman"/>
          <w:color w:val="auto"/>
          <w:kern w:val="2"/>
          <w:sz w:val="32"/>
          <w:szCs w:val="32"/>
          <w:lang w:val="en-US" w:eastAsia="zh-CN" w:bidi="ar-SA"/>
        </w:rPr>
        <w:t>荣获“全国信访工作示范区”，并连续三年获评“自治区平安县区”称号</w:t>
      </w:r>
      <w:r>
        <w:rPr>
          <w:rFonts w:hint="default" w:ascii="Times New Roman" w:hAnsi="Times New Roman" w:eastAsia="仿宋_GB2312" w:cs="Times New Roman"/>
          <w:color w:val="auto"/>
          <w:sz w:val="32"/>
          <w:szCs w:val="32"/>
          <w:u w:val="none"/>
          <w:lang w:val="en-US" w:eastAsia="zh-CN"/>
        </w:rPr>
        <w:t>。</w:t>
      </w:r>
    </w:p>
    <w:p w14:paraId="552B573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2024年全区经济总体平稳，在农业、固定资产投资等方面有较好的发展，这离不开各级领导的大力支持，离不开区委区政府的强力指导，离不开区人大、政协的有效监督，是全区人民、团结努力、真抓实干的成果。</w:t>
      </w:r>
    </w:p>
    <w:p w14:paraId="40632D85">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在肯定成绩的同时，我们也要清醒地认识到我区在工业和服务业等行业发展仍面临不容忽视的困难：从年初既定目标看，我区工业、批发、住宿、餐饮业增长与目标存在较大差异。主要原因在于我区支柱企业受国内外市场冲击，营业额大幅下滑，市场信心不足，加之产业发展不均衡，缺乏坚实支撑，导致地方财力趋紧。接下来，我</w:t>
      </w:r>
      <w:r>
        <w:rPr>
          <w:rFonts w:hint="default" w:ascii="Times New Roman" w:hAnsi="Times New Roman" w:cs="Times New Roman"/>
          <w:color w:val="auto"/>
          <w:sz w:val="32"/>
          <w:szCs w:val="32"/>
          <w:u w:val="none"/>
          <w:lang w:val="en-US" w:eastAsia="zh-CN"/>
        </w:rPr>
        <w:t>区</w:t>
      </w:r>
      <w:r>
        <w:rPr>
          <w:rFonts w:hint="default" w:ascii="Times New Roman" w:hAnsi="Times New Roman" w:eastAsia="仿宋_GB2312" w:cs="Times New Roman"/>
          <w:color w:val="auto"/>
          <w:sz w:val="32"/>
          <w:szCs w:val="32"/>
          <w:u w:val="none"/>
          <w:lang w:val="en-US" w:eastAsia="zh-CN"/>
        </w:rPr>
        <w:t>将坚持问题导向，在巩固既有良好发展态势的基础上，持续不懈地努力奋斗，勇于直面各种挑战，攻坚克难，精心策划并有力实施一系列针对性强、实效性高的措施，力求在经济社会发展的各个领域和方面取得更加突出、更加显著的成效。</w:t>
      </w:r>
    </w:p>
    <w:p w14:paraId="54E9B932">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二、2025年国民经济和社会发展计划安排情况</w:t>
      </w:r>
    </w:p>
    <w:p w14:paraId="31103C4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u w:val="none"/>
          <w:lang w:val="en-US" w:eastAsia="zh-CN"/>
        </w:rPr>
        <w:t>2025年是“十四五”规划的收官之年，同时也是桂林市创建世界级旅游城市的奋进之年，对全市、全区而言具有里程碑式的重大意义。根据雁山区委六届第六次经济工作会议和《政府工作报告》的总体部署，2025年全区经济社会发展计划的总体要求是：坚持以习近平新时代中国特色社会主义思想为引领，全面深入贯彻落实党的二十大，以及二十届二中、三中全会精神，深入</w:t>
      </w:r>
      <w:r>
        <w:rPr>
          <w:rFonts w:hint="default" w:ascii="Times New Roman" w:hAnsi="Times New Roman" w:eastAsia="仿宋_GB2312" w:cs="Times New Roman"/>
          <w:color w:val="auto"/>
          <w:sz w:val="32"/>
          <w:szCs w:val="32"/>
          <w:u w:val="none"/>
          <w:lang w:val="zh-TW" w:eastAsia="zh-CN"/>
        </w:rPr>
        <w:t>践行习近平总书记对广西工作论述的重要要求和桂林工作重要指示精神</w:t>
      </w:r>
      <w:r>
        <w:rPr>
          <w:rFonts w:hint="default" w:ascii="Times New Roman" w:hAnsi="Times New Roman" w:eastAsia="仿宋_GB2312" w:cs="Times New Roman"/>
          <w:color w:val="auto"/>
          <w:sz w:val="32"/>
          <w:szCs w:val="32"/>
          <w:u w:val="none"/>
          <w:lang w:val="en-US" w:eastAsia="zh-CN"/>
        </w:rPr>
        <w:t>，坚决执行自治区党委、桂林市委及雁山区委的科学决策部署，坚持稳住经济社会发展基本盘，着力扩大有效增长，深度挖掘发展潜力，推动短板指标实现稳步回升，为“十四五”圆满收官和“十五五”顺利开局奠定坚实基础。</w:t>
      </w:r>
    </w:p>
    <w:p w14:paraId="73166373">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雁山区2025年经济社会发展主要预期目标：全区地区生产总值增长5</w:t>
      </w:r>
      <w:r>
        <w:rPr>
          <w:rFonts w:hint="default" w:ascii="Times New Roman" w:hAnsi="Times New Roman" w:cs="Times New Roman"/>
          <w:color w:val="auto"/>
          <w:highlight w:val="none"/>
          <w:lang w:val="en-US" w:eastAsia="zh-CN"/>
        </w:rPr>
        <w:t>.0</w:t>
      </w:r>
      <w:r>
        <w:rPr>
          <w:rFonts w:hint="default" w:ascii="Times New Roman" w:hAnsi="Times New Roman" w:eastAsia="仿宋_GB2312" w:cs="Times New Roman"/>
          <w:color w:val="auto"/>
          <w:highlight w:val="none"/>
          <w:lang w:val="en-US" w:eastAsia="zh-CN"/>
        </w:rPr>
        <w:t>%以上，一二三产增加值分别增长</w:t>
      </w:r>
      <w:r>
        <w:rPr>
          <w:rFonts w:hint="default" w:ascii="Times New Roman" w:hAnsi="Times New Roman" w:cs="Times New Roman"/>
          <w:color w:val="auto"/>
          <w:highlight w:val="none"/>
          <w:lang w:val="en-US" w:eastAsia="zh-CN"/>
        </w:rPr>
        <w:t>5.0</w:t>
      </w:r>
      <w:r>
        <w:rPr>
          <w:rFonts w:hint="default" w:ascii="Times New Roman" w:hAnsi="Times New Roman" w:eastAsia="仿宋_GB2312" w:cs="Times New Roman"/>
          <w:color w:val="auto"/>
          <w:highlight w:val="none"/>
          <w:lang w:val="en-US" w:eastAsia="zh-CN"/>
        </w:rPr>
        <w:t>%、1</w:t>
      </w:r>
      <w:r>
        <w:rPr>
          <w:rFonts w:hint="default" w:ascii="Times New Roman" w:hAnsi="Times New Roman" w:cs="Times New Roman"/>
          <w:color w:val="auto"/>
          <w:highlight w:val="none"/>
          <w:lang w:val="en-US" w:eastAsia="zh-CN"/>
        </w:rPr>
        <w:t>6.2</w:t>
      </w:r>
      <w:r>
        <w:rPr>
          <w:rFonts w:hint="default" w:ascii="Times New Roman" w:hAnsi="Times New Roman" w:eastAsia="仿宋_GB2312" w:cs="Times New Roman"/>
          <w:color w:val="auto"/>
          <w:highlight w:val="none"/>
          <w:lang w:val="en-US" w:eastAsia="zh-CN"/>
        </w:rPr>
        <w:t>%、3</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lang w:val="en-US" w:eastAsia="zh-CN"/>
        </w:rPr>
        <w:t>%，规模以上工业增加值增长</w:t>
      </w:r>
      <w:r>
        <w:rPr>
          <w:rFonts w:hint="default" w:ascii="Times New Roman" w:hAnsi="Times New Roman" w:cs="Times New Roman"/>
          <w:color w:val="auto"/>
          <w:highlight w:val="none"/>
          <w:lang w:val="en-US" w:eastAsia="zh-CN"/>
        </w:rPr>
        <w:t>20.0</w:t>
      </w:r>
      <w:r>
        <w:rPr>
          <w:rFonts w:hint="default" w:ascii="Times New Roman" w:hAnsi="Times New Roman" w:eastAsia="仿宋_GB2312" w:cs="Times New Roman"/>
          <w:color w:val="auto"/>
          <w:highlight w:val="none"/>
          <w:lang w:val="en-US" w:eastAsia="zh-CN"/>
        </w:rPr>
        <w:t>%，固定资产投资增长10</w:t>
      </w:r>
      <w:r>
        <w:rPr>
          <w:rFonts w:hint="default" w:ascii="Times New Roman" w:hAnsi="Times New Roman" w:cs="Times New Roman"/>
          <w:color w:val="auto"/>
          <w:highlight w:val="none"/>
          <w:lang w:val="en-US" w:eastAsia="zh-CN"/>
        </w:rPr>
        <w:t>.0</w:t>
      </w:r>
      <w:r>
        <w:rPr>
          <w:rFonts w:hint="default" w:ascii="Times New Roman" w:hAnsi="Times New Roman" w:eastAsia="仿宋_GB2312" w:cs="Times New Roman"/>
          <w:color w:val="auto"/>
          <w:highlight w:val="none"/>
          <w:lang w:val="en-US" w:eastAsia="zh-CN"/>
        </w:rPr>
        <w:t>%</w:t>
      </w:r>
      <w:r>
        <w:rPr>
          <w:rFonts w:hint="default" w:ascii="Times New Roman" w:hAnsi="Times New Roman" w:cs="Times New Roman"/>
          <w:color w:val="auto"/>
          <w:highlight w:val="none"/>
          <w:lang w:val="en-US" w:eastAsia="zh-CN"/>
        </w:rPr>
        <w:t>以上</w:t>
      </w:r>
      <w:r>
        <w:rPr>
          <w:rFonts w:hint="default" w:ascii="Times New Roman" w:hAnsi="Times New Roman" w:eastAsia="仿宋_GB2312" w:cs="Times New Roman"/>
          <w:color w:val="auto"/>
          <w:highlight w:val="none"/>
          <w:lang w:val="en-US" w:eastAsia="zh-CN"/>
        </w:rPr>
        <w:t>，社会消费品零售总额增长</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lang w:val="en-US" w:eastAsia="zh-CN"/>
        </w:rPr>
        <w:t>%，居民人均可支配收入与经济增长基本同步。为实现上述目标，我们将重点聚焦并切实抓好以下几项工作：</w:t>
      </w:r>
    </w:p>
    <w:p w14:paraId="22C4132E">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（一）攻坚短板促均衡，力求发展全面稳提升</w:t>
      </w:r>
    </w:p>
    <w:p w14:paraId="50F77F2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b/>
          <w:bCs w:val="0"/>
          <w:color w:val="auto"/>
          <w:kern w:val="2"/>
          <w:sz w:val="32"/>
          <w:szCs w:val="32"/>
          <w:highlight w:val="none"/>
          <w:lang w:val="en-US" w:eastAsia="zh-CN" w:bidi="ar-SA"/>
        </w:rPr>
        <w:t>瞄准</w:t>
      </w:r>
      <w:r>
        <w:rPr>
          <w:rFonts w:hint="default" w:ascii="Times New Roman" w:hAnsi="Times New Roman" w:eastAsia="仿宋_GB2312" w:cs="Times New Roman"/>
          <w:b/>
          <w:bCs w:val="0"/>
          <w:color w:val="auto"/>
          <w:kern w:val="2"/>
          <w:sz w:val="32"/>
          <w:szCs w:val="32"/>
          <w:highlight w:val="none"/>
          <w:lang w:val="en-US" w:eastAsia="zh-CN" w:bidi="ar-SA"/>
        </w:rPr>
        <w:t>工业</w:t>
      </w:r>
      <w:r>
        <w:rPr>
          <w:rFonts w:hint="default" w:ascii="Times New Roman" w:hAnsi="Times New Roman" w:cs="Times New Roman"/>
          <w:b/>
          <w:bCs w:val="0"/>
          <w:color w:val="auto"/>
          <w:kern w:val="2"/>
          <w:sz w:val="32"/>
          <w:szCs w:val="32"/>
          <w:highlight w:val="none"/>
          <w:lang w:val="en-US" w:eastAsia="zh-CN" w:bidi="ar-SA"/>
        </w:rPr>
        <w:t>促发展</w:t>
      </w:r>
      <w:r>
        <w:rPr>
          <w:rFonts w:hint="default"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color w:val="auto"/>
          <w:highlight w:val="none"/>
          <w:lang w:val="en-US" w:eastAsia="zh-CN"/>
        </w:rPr>
        <w:t>一是稳定四类企业投产。紧盯新建成的桂林同方厂房扩建项目；技改增产扩产的漓芝润速冻果蔬及果汁果浆饮料生产线、金粟生产线、湘辣王实业冷库项目；新入库的漓芝润农业公司；恢复性生产企业吉福思、三鼎混凝土等四类企业尽快投产，并实现达产满产，培育规上工业企业3家以上。二是完善园区建设。按照“十有”园区</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7</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highlight w:val="none"/>
          <w:lang w:val="en-US" w:eastAsia="zh-CN"/>
        </w:rPr>
        <w:t>标准，</w:t>
      </w:r>
      <w:r>
        <w:rPr>
          <w:rFonts w:hint="default" w:ascii="Times New Roman" w:hAnsi="Times New Roman" w:cs="Times New Roman"/>
          <w:color w:val="auto"/>
          <w:highlight w:val="none"/>
          <w:lang w:val="en-US" w:eastAsia="zh-CN"/>
        </w:rPr>
        <w:t>实</w:t>
      </w:r>
      <w:r>
        <w:rPr>
          <w:rFonts w:hint="default" w:ascii="Times New Roman" w:hAnsi="Times New Roman" w:eastAsia="仿宋_GB2312" w:cs="Times New Roman"/>
          <w:color w:val="auto"/>
          <w:highlight w:val="none"/>
          <w:lang w:val="en-US" w:eastAsia="zh-CN"/>
        </w:rPr>
        <w:t>施园区基础设施“补短板”工程。全力推进奇峰创业园标准厂房项目（二期）等标准厂房建设，抓好奇峰产业基地二期、万福东路沿线、大学生创业产业基地等地块收储工作，加强存量土地盘活和闲置土地处置，想方设法提高供地率。三是全力打造雁山高校新质生产力科创产业园，推动广西师大成果转化基地、桂林理工大学科技园、桂林医学院生物医药产业学院、桂林旅游学院食品营养与健康产业学院等入驻，加快实现科技成果本地转化。</w:t>
      </w:r>
    </w:p>
    <w:p w14:paraId="53B42E7E">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val="0"/>
          <w:color w:val="auto"/>
          <w:kern w:val="2"/>
          <w:sz w:val="32"/>
          <w:szCs w:val="32"/>
          <w:highlight w:val="none"/>
          <w:lang w:val="en-US" w:eastAsia="zh-CN" w:bidi="ar-SA"/>
        </w:rPr>
        <w:t>立足文旅补三产。</w:t>
      </w:r>
      <w:r>
        <w:rPr>
          <w:rFonts w:hint="default" w:ascii="Times New Roman" w:hAnsi="Times New Roman" w:eastAsia="仿宋_GB2312" w:cs="Times New Roman"/>
          <w:color w:val="auto"/>
          <w:highlight w:val="none"/>
          <w:lang w:val="en-US" w:eastAsia="zh-CN"/>
        </w:rPr>
        <w:t>一是加快融入桂林世界级旅游城市建设，加大国家级旅游度假区优势宣传，以国字号文旅招牌为引领，加强“乐享山水田园 潮玩活力雁山”品牌建设，扩大“心泊漓江 梦栖雁山”品牌影响力，不断提高雁山旅游知名度和美誉度，加快雁山园保护提升，力争2025年雁山列入世界级旅游度假区培育名单。二是立足丰富的历史人文底蕴和大学城聚集优势，推动雁山大学城商圈夜经济集聚创新发展，加快草坪荧幕山光影秀招商，打造老镇区亮化夜景，积极策划“草坪·房车露营节”“柘木</w:t>
      </w: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仿宋_GB2312" w:cs="Times New Roman"/>
          <w:color w:val="auto"/>
          <w:highlight w:val="none"/>
          <w:lang w:val="en-US" w:eastAsia="zh-CN"/>
        </w:rPr>
        <w:t>稻花香里说非遗”、大埠乡旅游体验季等活动，带活雁山区大学城、融创文旅城等重要消费商圈，以赛促进，以活动促消费提振。三是培育一批文旅新业态，提质一批文旅项目，协助做好雁山园权属交接和下一步的管理和开发工作，充分利用草坪集散中心场地优势，谋划“亿航智能”等一批新业态项目，推动草坪低空经济发展。做出雁山新亮点。</w:t>
      </w:r>
    </w:p>
    <w:p w14:paraId="29166C7C">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（二）稳固优势带全局，驱动发展整体快飞跃</w:t>
      </w:r>
    </w:p>
    <w:p w14:paraId="6BC1CC98">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b/>
          <w:bCs w:val="0"/>
          <w:color w:val="auto"/>
          <w:kern w:val="2"/>
          <w:sz w:val="32"/>
          <w:szCs w:val="32"/>
          <w:highlight w:val="none"/>
          <w:lang w:val="en-US" w:eastAsia="zh-CN" w:bidi="ar-SA"/>
        </w:rPr>
        <w:t>农业稳中有进</w:t>
      </w:r>
      <w:r>
        <w:rPr>
          <w:rFonts w:hint="default" w:ascii="Times New Roman" w:hAnsi="Times New Roman" w:eastAsia="仿宋_GB2312" w:cs="Times New Roman"/>
          <w:b/>
          <w:bCs w:val="0"/>
          <w:color w:val="auto"/>
          <w:kern w:val="2"/>
          <w:sz w:val="32"/>
          <w:szCs w:val="32"/>
          <w:highlight w:val="none"/>
          <w:lang w:val="en-US" w:eastAsia="zh-CN" w:bidi="ar-SA"/>
        </w:rPr>
        <w:t>。</w:t>
      </w:r>
      <w:r>
        <w:rPr>
          <w:rFonts w:hint="default" w:ascii="Times New Roman" w:hAnsi="Times New Roman" w:eastAsia="仿宋_GB2312" w:cs="Times New Roman"/>
          <w:color w:val="auto"/>
          <w:highlight w:val="none"/>
          <w:lang w:val="en-US" w:eastAsia="zh-CN"/>
        </w:rPr>
        <w:t>严格落实耕地保护制度，</w:t>
      </w:r>
      <w:r>
        <w:rPr>
          <w:rFonts w:hint="default" w:ascii="Times New Roman" w:hAnsi="Times New Roman" w:eastAsia="仿宋_GB2312" w:cs="Times New Roman"/>
          <w:color w:val="auto"/>
          <w:highlight w:val="none"/>
          <w:lang w:val="zh-TW" w:eastAsia="zh-CN"/>
        </w:rPr>
        <w:t>新建700亩、提质改造1500亩高标准农田；</w:t>
      </w:r>
      <w:r>
        <w:rPr>
          <w:rFonts w:hint="default" w:ascii="Times New Roman" w:hAnsi="Times New Roman" w:eastAsia="仿宋_GB2312" w:cs="Times New Roman"/>
          <w:color w:val="auto"/>
          <w:highlight w:val="none"/>
          <w:lang w:val="en-US" w:eastAsia="zh-CN"/>
        </w:rPr>
        <w:t>抓好粮食生产、“菜篮子”工程，稳定粮食种植面积和产量，确保我区粮食安全。加快提升农业现代化水平，立足设施农业规模化、集约化、智能化、绿色化的发展方向，依托数字引领、数智赋能，持续推进吉福思罗汉果产业集群、广西农垦良丰农场集团“鱼+菜+果”生态种养循环等重点项目建设，力争新建高标准设施农业大棚1000亩。加强顶层设计，加大治理经费的支持力度，因地制宜，科学制定治理和复耕复种方案，大力推进土地流转。提高养殖业规模化、专业化、标准化生产。积极推广“微生物+”生态养殖技术。指导重点养殖场升级改造粪污处理设备设施。按规定落实各项补助资金发放。进一步完善乡村基础设施，持续推进农村生活污水治理与农村黑臭水体整治行动。重点推进草坪潜经、悦桂情歌</w:t>
      </w: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仿宋_GB2312" w:cs="Times New Roman"/>
          <w:color w:val="auto"/>
          <w:highlight w:val="none"/>
          <w:lang w:val="en-US" w:eastAsia="zh-CN"/>
        </w:rPr>
        <w:t>乡谣里、红顶花园、柘漓等一批乡村休闲旅游景点建设，策划包装漓西片区农文旅开发，持续推进农村三产融合发展新业态。</w:t>
      </w:r>
    </w:p>
    <w:p w14:paraId="44EAAD8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cs="Times New Roman"/>
          <w:b/>
          <w:bCs w:val="0"/>
          <w:color w:val="auto"/>
          <w:kern w:val="2"/>
          <w:sz w:val="32"/>
          <w:szCs w:val="32"/>
          <w:highlight w:val="none"/>
          <w:lang w:val="en-US" w:eastAsia="zh-CN" w:bidi="ar-SA"/>
        </w:rPr>
        <w:t>项目攻坚有力</w:t>
      </w:r>
      <w:r>
        <w:rPr>
          <w:rFonts w:hint="default" w:ascii="Times New Roman" w:hAnsi="Times New Roman" w:eastAsia="楷体"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highlight w:val="none"/>
          <w:lang w:val="en-US" w:eastAsia="zh-CN"/>
        </w:rPr>
        <w:t>一是重点服务在建项目。抢抓项目施工期，推动在建项目建设进度再提前，提速广西师范大学附属外国语学校校本部迁建工程项目二期、招商孵化中心1、2、3号楼、南溪山医院雁山院区、玉圭园至园博园道路等一批重大项目建设，紧盯专项债资金项目，推动罗汉果</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世界之窗</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产业集群及科研中心项目等项目加快建设，力争完成更多实物工程量，形成有效投资。二是加强辖区高校沟通。利用统计普法等活动畅通高校沟通渠道，提高沟通频率，严把投资进度，争取应统尽统。三是重点强化土地、资金等要素资源保障，破解项目难点、堵点，持续加强与金融机构对接，争取加快审贷放贷，保障续建项目建设资金。</w:t>
      </w:r>
    </w:p>
    <w:p w14:paraId="148D7C42">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（三）培育动能添活力，激发发展潜力新篇章</w:t>
      </w:r>
    </w:p>
    <w:p w14:paraId="00785222">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b/>
          <w:bCs w:val="0"/>
          <w:color w:val="auto"/>
          <w:kern w:val="2"/>
          <w:sz w:val="32"/>
          <w:szCs w:val="32"/>
          <w:highlight w:val="none"/>
          <w:lang w:val="en-US" w:eastAsia="zh-CN" w:bidi="ar-SA"/>
        </w:rPr>
        <w:t>谋划项目刺激新发展。</w:t>
      </w:r>
      <w:r>
        <w:rPr>
          <w:rFonts w:hint="default" w:ascii="Times New Roman" w:hAnsi="Times New Roman" w:eastAsia="仿宋_GB2312" w:cs="Times New Roman"/>
          <w:color w:val="auto"/>
          <w:highlight w:val="none"/>
          <w:lang w:val="en-US" w:eastAsia="zh-CN"/>
        </w:rPr>
        <w:t>围绕国家、自治区政策资金投向，积极向上争取专项债券、政府投资引导基金等资金和政策支持，以产业带动能力较强的项目为重点，谋划一批打基础、利长远的重大项目，全年谋划储备项目30个以上，开工6个以上。加快推进桂林</w:t>
      </w: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仿宋_GB2312" w:cs="Times New Roman"/>
          <w:color w:val="auto"/>
          <w:highlight w:val="none"/>
          <w:lang w:val="en-US" w:eastAsia="zh-CN"/>
        </w:rPr>
        <w:t>山水明月印、桂林之夜、俊雄食品加工、离明科技、师大附外二期、能汇集团厂房、燕林学府等一批项目早开工；航空航天产业园（一期）、漓江流域大埠江水环境综合治理等一批项目早建成；招商孵化中心、奇峰创业园冷链物流仓储基地、锦江晖廷云居等一批项目早投产。</w:t>
      </w:r>
    </w:p>
    <w:p w14:paraId="4525ECCC">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val="0"/>
          <w:color w:val="auto"/>
          <w:kern w:val="2"/>
          <w:sz w:val="32"/>
          <w:szCs w:val="32"/>
          <w:highlight w:val="none"/>
          <w:lang w:val="en-US" w:eastAsia="zh-CN" w:bidi="ar-SA"/>
        </w:rPr>
        <w:t>大力招商刺激新动能。</w:t>
      </w:r>
      <w:r>
        <w:rPr>
          <w:rFonts w:hint="default" w:ascii="Times New Roman" w:hAnsi="Times New Roman" w:eastAsia="仿宋_GB2312" w:cs="Times New Roman"/>
          <w:color w:val="auto"/>
          <w:highlight w:val="none"/>
          <w:lang w:val="en-US" w:eastAsia="zh-CN"/>
        </w:rPr>
        <w:t>坚持“一把手”走出去、“政策为大、项目为王”的招商宗旨，瞄准京津冀、粤港澳大湾区、长三角等重点区域，将500强企业、专精特新“小巨人”、“独角兽企业”</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8</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highlight w:val="none"/>
          <w:lang w:val="en-US" w:eastAsia="zh-CN"/>
        </w:rPr>
        <w:t>、“广西瞪羚企业”</w:t>
      </w:r>
      <w:r>
        <w:rPr>
          <w:rFonts w:hint="default" w:ascii="Times New Roman" w:hAnsi="Times New Roman" w:eastAsia="仿宋_GB2312" w:cs="Times New Roman"/>
          <w:color w:val="auto"/>
          <w:sz w:val="32"/>
          <w:szCs w:val="32"/>
          <w:u w:val="none"/>
          <w:vertAlign w:val="superscript"/>
          <w:lang w:val="en-US" w:eastAsia="zh-CN"/>
        </w:rPr>
        <w:t>[9]</w:t>
      </w:r>
      <w:r>
        <w:rPr>
          <w:rFonts w:hint="default" w:ascii="Times New Roman" w:hAnsi="Times New Roman" w:eastAsia="仿宋_GB2312" w:cs="Times New Roman"/>
          <w:color w:val="auto"/>
          <w:highlight w:val="none"/>
          <w:lang w:val="en-US" w:eastAsia="zh-CN"/>
        </w:rPr>
        <w:t>等列为首席招商的主攻方向，围绕雁山园产业发展方向与重点，深化驻点招商、产业链招商，积极参与招商推介会，聚焦上下游配套，力争引进强优企业，打造产业集群效应，确保招商取得实效，新签约项目4个以上。加强与辖区各大高校、科研机构合作，促进科技成果转化，提升区域创新能力，创造招商引资新优势。</w:t>
      </w:r>
    </w:p>
    <w:p w14:paraId="40FB69F5">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3" w:firstLineChars="200"/>
        <w:contextualSpacing/>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（四）全面发力保民生</w:t>
      </w:r>
      <w:r>
        <w:rPr>
          <w:rFonts w:hint="eastAsia" w:eastAsia="楷体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lang w:val="en-US" w:eastAsia="zh-CN"/>
        </w:rPr>
        <w:t>力取社会事业新成效</w:t>
      </w:r>
    </w:p>
    <w:p w14:paraId="09FC015F">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坚持</w:t>
      </w:r>
      <w:r>
        <w:rPr>
          <w:rFonts w:hint="default" w:ascii="Times New Roman" w:hAnsi="Times New Roman" w:eastAsia="仿宋_GB2312" w:cs="Times New Roman"/>
          <w:color w:val="auto"/>
          <w:highlight w:val="none"/>
          <w:lang w:val="zh-CN" w:eastAsia="zh-CN"/>
        </w:rPr>
        <w:t>以人民为中心的发展思想，大力实施为民办实事工程，</w:t>
      </w:r>
      <w:r>
        <w:rPr>
          <w:rFonts w:hint="default" w:ascii="Times New Roman" w:hAnsi="Times New Roman" w:eastAsia="仿宋_GB2312" w:cs="Times New Roman"/>
          <w:color w:val="auto"/>
          <w:highlight w:val="none"/>
          <w:lang w:val="en-US" w:eastAsia="zh-CN"/>
        </w:rPr>
        <w:t>加快医改发展持续化、推动医疗集团管理科学化、推进分级诊疗制度化、促进全民健康常态化，下大力气补齐短板，推进我区卫生与健康事业快速发展。持续推进漓江流域山水林田湖草沙一体化保护和修复工程，</w:t>
      </w:r>
      <w:r>
        <w:rPr>
          <w:rFonts w:hint="default" w:ascii="Times New Roman" w:hAnsi="Times New Roman" w:eastAsia="仿宋_GB2312" w:cs="Times New Roman"/>
          <w:color w:val="auto"/>
          <w:highlight w:val="none"/>
          <w:lang w:val="zh-CN" w:eastAsia="zh-CN"/>
        </w:rPr>
        <w:t>做好漓江生态保护。</w:t>
      </w:r>
      <w:r>
        <w:rPr>
          <w:rFonts w:hint="default" w:ascii="Times New Roman" w:hAnsi="Times New Roman" w:eastAsia="仿宋_GB2312" w:cs="Times New Roman"/>
          <w:color w:val="auto"/>
          <w:highlight w:val="none"/>
          <w:lang w:val="en-US" w:eastAsia="zh-CN"/>
        </w:rPr>
        <w:t>加快科教组团保障性租赁住房及公租房、奇峰创业园保障性租赁住房等项目建设。持续推进“高效办成一件事”，提升审批效率，持续推动跨部门综合监管，优化事中事后监管，提升监管透明度。加强与企业的沟通合作，开展惠企惠民政策宣传，充分利用零工市场、招聘会等渠道，在企业用工保障、重点群体就业服务等方面做实做细，促进高校毕业生、就业困难人员等重点群体就业。加强农村危房改造。加大乡镇、应急、民政等部门间信息联动，对符合条件的新增危房，及时纳入2025年危房改造计划。对于系统录入的存在安全隐患的自建房，督促乡镇加强管控，采取相应措施，整治销号，确保农村困难群众的住房安全。紧盯社会救助兜底保障与乡村振兴的有效衔接，发挥低保的兜底保障作用，做到排查认定不漏一户，政策帮扶不漏一人，确保兜底保障应保尽保、应救尽救。</w:t>
      </w:r>
    </w:p>
    <w:p w14:paraId="66B5BCF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586" w:lineRule="exact"/>
        <w:ind w:firstLine="640" w:firstLineChars="200"/>
        <w:contextualSpacing/>
        <w:textAlignment w:val="auto"/>
        <w:rPr>
          <w:rFonts w:hint="default" w:ascii="Times New Roman" w:hAnsi="Times New Roman" w:eastAsia="仿宋_GB2312" w:cs="Times New Roman"/>
          <w:b w:val="0"/>
          <w:bCs w:val="0"/>
          <w:color w:val="auto"/>
          <w:spacing w:val="0"/>
          <w:kern w:val="0"/>
          <w:sz w:val="32"/>
          <w:szCs w:val="32"/>
          <w:highlight w:val="none"/>
          <w:u w:val="none"/>
          <w:lang w:val="en-US" w:eastAsia="zh-CN"/>
        </w:rPr>
      </w:pPr>
      <w:r>
        <w:rPr>
          <w:rFonts w:hint="default" w:ascii="Times New Roman" w:hAnsi="Times New Roman" w:eastAsia="仿宋_GB2312" w:cs="Times New Roman"/>
          <w:color w:val="auto"/>
          <w:highlight w:val="none"/>
          <w:lang w:val="en-US" w:eastAsia="zh-CN"/>
        </w:rPr>
        <w:t>2025年，雁山区将以习近平新时代中国特色社会主义思想为指导，深入贯彻落实习近平总书记对广西工作论述的重要要求和桂林工作重要指示精神，围绕“一区两地一园一通道”</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cs="Times New Roman"/>
          <w:color w:val="auto"/>
          <w:sz w:val="32"/>
          <w:szCs w:val="32"/>
          <w:u w:val="none"/>
          <w:vertAlign w:val="superscript"/>
          <w:lang w:val="en-US" w:eastAsia="zh-CN"/>
        </w:rPr>
        <w:t>10</w:t>
      </w:r>
      <w:r>
        <w:rPr>
          <w:rFonts w:hint="default" w:ascii="Times New Roman" w:hAnsi="Times New Roman" w:eastAsia="仿宋_GB2312" w:cs="Times New Roman"/>
          <w:color w:val="auto"/>
          <w:sz w:val="32"/>
          <w:szCs w:val="32"/>
          <w:u w:val="none"/>
          <w:vertAlign w:val="superscript"/>
          <w:lang w:val="en-US" w:eastAsia="zh-CN"/>
        </w:rPr>
        <w:t>]</w:t>
      </w:r>
      <w:r>
        <w:rPr>
          <w:rFonts w:hint="default" w:ascii="Times New Roman" w:hAnsi="Times New Roman" w:eastAsia="仿宋_GB2312" w:cs="Times New Roman"/>
          <w:color w:val="auto"/>
          <w:highlight w:val="none"/>
          <w:lang w:val="en-US" w:eastAsia="zh-CN"/>
        </w:rPr>
        <w:t>和桂林世界级旅游城市战略任务，坚持以铸牢中华民族共同体意识为主线，坚持稳中求进工作总基调，完整准确全面贯彻新发展理念，积极服务和融入新发展格局，扎实推动高质量发展，因地制宜培育新质生产力，大力提振市场信心，突出做好稳增长、稳就业工作，推动全区经济持续回升向好，锚定“产教城景”融合发展特色区和培育世界级旅游度假区目标，高质量完成“十四五”规划目标任务，为实现“十五五”良好开局打牢基础。</w:t>
      </w:r>
    </w:p>
    <w:p w14:paraId="46FF1C4C">
      <w:pPr>
        <w:keepNext w:val="0"/>
        <w:keepLines w:val="0"/>
        <w:pageBreakBefore w:val="0"/>
        <w:widowControl/>
        <w:numPr>
          <w:ilvl w:val="0"/>
          <w:numId w:val="0"/>
        </w:numPr>
        <w:pBdr>
          <w:bottom w:val="single" w:color="FFFFFF" w:sz="4" w:space="17"/>
        </w:pBdr>
        <w:tabs>
          <w:tab w:val="left" w:pos="7380"/>
        </w:tabs>
        <w:kinsoku/>
        <w:wordWrap/>
        <w:overflowPunct/>
        <w:topLinePunct w:val="0"/>
        <w:autoSpaceDE/>
        <w:bidi w:val="0"/>
        <w:spacing w:line="586" w:lineRule="exact"/>
        <w:ind w:firstLine="640" w:firstLineChars="200"/>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各位代表，2025年国民经济和社会发展工作任务艰巨、意义重大、使命光荣，我们要以习近平新时代中国特色社会主义思想为指导，在区委、区政府的坚强领导下，在区人大、区政协的监督支持下，以更加饱满的热情，更加昂扬的斗志，更加务实的作风，担当作为，狠抓落实，为顺利实现2025年国民经济和社会发展目标，为加快融入打造桂林世界级旅游城市、谱写全面中国式现代化雁山篇章努力奋斗</w:t>
      </w:r>
      <w:r>
        <w:rPr>
          <w:rFonts w:hint="default" w:ascii="Times New Roman" w:hAnsi="Times New Roman" w:cs="Times New Roman"/>
          <w:color w:val="auto"/>
          <w:highlight w:val="none"/>
          <w:lang w:val="en-US" w:eastAsia="zh-CN"/>
        </w:rPr>
        <w:t>！</w:t>
      </w:r>
    </w:p>
    <w:p w14:paraId="178CF6F0">
      <w:pPr>
        <w:keepNext w:val="0"/>
        <w:keepLines w:val="0"/>
        <w:pageBreakBefore w:val="0"/>
        <w:kinsoku/>
        <w:wordWrap/>
        <w:overflowPunct/>
        <w:topLinePunct w:val="0"/>
        <w:autoSpaceDE/>
        <w:bidi w:val="0"/>
        <w:spacing w:line="586" w:lineRule="exact"/>
        <w:ind w:left="0" w:leftChars="0" w:firstLine="0" w:firstLineChars="0"/>
        <w:rPr>
          <w:rFonts w:hint="default" w:ascii="Times New Roman" w:hAnsi="Times New Roman" w:eastAsia="仿宋_GB2312" w:cs="Times New Roman"/>
          <w:color w:val="auto"/>
          <w:highlight w:val="none"/>
          <w:lang w:val="en-US" w:eastAsia="zh-CN"/>
        </w:rPr>
      </w:pPr>
    </w:p>
    <w:p w14:paraId="74817E12">
      <w:pPr>
        <w:rPr>
          <w:rStyle w:val="31"/>
          <w:rFonts w:hint="default" w:ascii="Times New Roman" w:hAnsi="Times New Roman" w:eastAsia="黑体" w:cs="Times New Roman"/>
          <w:color w:val="auto"/>
          <w:sz w:val="28"/>
          <w:szCs w:val="28"/>
        </w:rPr>
      </w:pPr>
      <w:r>
        <w:rPr>
          <w:rStyle w:val="31"/>
          <w:rFonts w:hint="default" w:ascii="Times New Roman" w:hAnsi="Times New Roman" w:eastAsia="黑体" w:cs="Times New Roman"/>
          <w:color w:val="auto"/>
          <w:sz w:val="28"/>
          <w:szCs w:val="28"/>
        </w:rPr>
        <w:br w:type="page"/>
      </w:r>
    </w:p>
    <w:p w14:paraId="4668BD3B">
      <w:pPr>
        <w:pStyle w:val="32"/>
        <w:keepNext w:val="0"/>
        <w:keepLines w:val="0"/>
        <w:pageBreakBefore w:val="0"/>
        <w:kinsoku/>
        <w:wordWrap/>
        <w:overflowPunct/>
        <w:topLinePunct w:val="0"/>
        <w:autoSpaceDE/>
        <w:autoSpaceDN/>
        <w:bidi w:val="0"/>
        <w:adjustRightInd/>
        <w:snapToGrid/>
        <w:spacing w:after="0" w:line="380" w:lineRule="exact"/>
        <w:ind w:firstLine="0" w:firstLineChars="0"/>
        <w:rPr>
          <w:rFonts w:hint="default" w:ascii="Times New Roman" w:hAnsi="Times New Roman" w:cs="Times New Roman"/>
          <w:color w:val="auto"/>
        </w:rPr>
      </w:pPr>
      <w:r>
        <w:rPr>
          <w:rStyle w:val="31"/>
          <w:rFonts w:hint="default" w:ascii="Times New Roman" w:hAnsi="Times New Roman" w:eastAsia="黑体" w:cs="Times New Roman"/>
          <w:color w:val="auto"/>
          <w:sz w:val="28"/>
          <w:szCs w:val="28"/>
        </w:rPr>
        <w:t>附：名词解释</w:t>
      </w:r>
    </w:p>
    <w:p w14:paraId="188B3D9C">
      <w:pPr>
        <w:keepNext w:val="0"/>
        <w:keepLines w:val="0"/>
        <w:pageBreakBefore w:val="0"/>
        <w:kinsoku/>
        <w:wordWrap/>
        <w:overflowPunct/>
        <w:topLinePunct w:val="0"/>
        <w:autoSpaceDE/>
        <w:autoSpaceDN/>
        <w:bidi w:val="0"/>
        <w:adjustRightInd/>
        <w:snapToGrid/>
        <w:spacing w:line="380" w:lineRule="exact"/>
        <w:ind w:firstLine="480" w:firstLineChars="200"/>
        <w:rPr>
          <w:rStyle w:val="31"/>
          <w:rFonts w:hint="default" w:ascii="Times New Roman" w:hAnsi="Times New Roman" w:eastAsia="仿宋_GB2312" w:cs="Times New Roman"/>
          <w:color w:val="auto"/>
          <w:sz w:val="24"/>
        </w:rPr>
      </w:pPr>
    </w:p>
    <w:p w14:paraId="2409D35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Style w:val="31"/>
          <w:rFonts w:hint="default" w:ascii="Times New Roman" w:hAnsi="Times New Roman" w:eastAsia="黑体" w:cs="Times New Roman"/>
          <w:color w:val="auto"/>
          <w:sz w:val="24"/>
        </w:rPr>
      </w:pPr>
      <w:r>
        <w:rPr>
          <w:rStyle w:val="31"/>
          <w:rFonts w:hint="default" w:ascii="Times New Roman" w:hAnsi="Times New Roman" w:eastAsia="黑体" w:cs="Times New Roman"/>
          <w:color w:val="auto"/>
          <w:sz w:val="24"/>
          <w:lang w:val="en-US" w:eastAsia="zh-CN"/>
        </w:rPr>
        <w:t>[1]</w:t>
      </w:r>
      <w:r>
        <w:rPr>
          <w:rStyle w:val="31"/>
          <w:rFonts w:hint="default" w:ascii="Times New Roman" w:hAnsi="Times New Roman" w:eastAsia="黑体" w:cs="Times New Roman"/>
          <w:color w:val="auto"/>
          <w:sz w:val="24"/>
        </w:rPr>
        <w:t>“专精特新小巨人</w:t>
      </w:r>
      <w:r>
        <w:rPr>
          <w:rStyle w:val="31"/>
          <w:rFonts w:hint="default" w:ascii="Times New Roman" w:hAnsi="Times New Roman" w:eastAsia="黑体" w:cs="Times New Roman"/>
          <w:color w:val="auto"/>
          <w:sz w:val="24"/>
          <w:lang w:val="en-US" w:eastAsia="zh-CN"/>
        </w:rPr>
        <w:t>企业</w:t>
      </w:r>
      <w:r>
        <w:rPr>
          <w:rStyle w:val="31"/>
          <w:rFonts w:hint="default" w:ascii="Times New Roman" w:hAnsi="Times New Roman" w:eastAsia="黑体" w:cs="Times New Roman"/>
          <w:color w:val="auto"/>
          <w:sz w:val="24"/>
          <w:lang w:eastAsia="zh-CN"/>
        </w:rPr>
        <w:t>”：</w:t>
      </w:r>
      <w:r>
        <w:rPr>
          <w:rStyle w:val="31"/>
          <w:rFonts w:hint="default" w:ascii="Times New Roman" w:hAnsi="Times New Roman" w:eastAsia="仿宋_GB2312" w:cs="Times New Roman"/>
          <w:color w:val="auto"/>
          <w:sz w:val="24"/>
        </w:rPr>
        <w:t>“</w:t>
      </w:r>
      <w:r>
        <w:rPr>
          <w:rStyle w:val="31"/>
          <w:rFonts w:hint="default" w:ascii="Times New Roman" w:hAnsi="Times New Roman" w:eastAsia="仿宋_GB2312" w:cs="Times New Roman"/>
          <w:color w:val="auto"/>
          <w:sz w:val="24"/>
        </w:rPr>
        <w:fldChar w:fldCharType="begin"/>
      </w:r>
      <w:r>
        <w:rPr>
          <w:rStyle w:val="31"/>
          <w:rFonts w:hint="default" w:ascii="Times New Roman" w:hAnsi="Times New Roman" w:eastAsia="仿宋_GB2312" w:cs="Times New Roman"/>
          <w:color w:val="auto"/>
          <w:sz w:val="24"/>
        </w:rPr>
        <w:instrText xml:space="preserve"> HYPERLINK "https://www.zhihu.com/search?q=%E4%B8%93%E7%B2%BE%E7%89%B9%E6%96%B0&amp;search_source=Entity&amp;hybrid_search_source=Entity&amp;hybrid_search_extra={"sourceType":"answer","sourceId":3052377712}" \t "_blank" </w:instrText>
      </w:r>
      <w:r>
        <w:rPr>
          <w:rStyle w:val="31"/>
          <w:rFonts w:hint="default" w:ascii="Times New Roman" w:hAnsi="Times New Roman" w:eastAsia="仿宋_GB2312" w:cs="Times New Roman"/>
          <w:color w:val="auto"/>
          <w:sz w:val="24"/>
        </w:rPr>
        <w:fldChar w:fldCharType="separate"/>
      </w:r>
      <w:r>
        <w:rPr>
          <w:rStyle w:val="31"/>
          <w:rFonts w:hint="default" w:ascii="Times New Roman" w:hAnsi="Times New Roman" w:eastAsia="仿宋_GB2312" w:cs="Times New Roman"/>
          <w:color w:val="auto"/>
          <w:sz w:val="24"/>
        </w:rPr>
        <w:t>专精特新</w:t>
      </w:r>
      <w:r>
        <w:rPr>
          <w:rStyle w:val="31"/>
          <w:rFonts w:hint="default" w:ascii="Times New Roman" w:hAnsi="Times New Roman" w:eastAsia="仿宋_GB2312" w:cs="Times New Roman"/>
          <w:color w:val="auto"/>
          <w:sz w:val="24"/>
        </w:rPr>
        <w:fldChar w:fldCharType="end"/>
      </w:r>
      <w:r>
        <w:rPr>
          <w:rStyle w:val="31"/>
          <w:rFonts w:hint="default" w:ascii="Times New Roman" w:hAnsi="Times New Roman" w:eastAsia="仿宋_GB2312" w:cs="Times New Roman"/>
          <w:color w:val="auto"/>
          <w:sz w:val="24"/>
        </w:rPr>
        <w:t>”，是指具有“专业化、精细化、特色化、新颖化”特征的</w:t>
      </w:r>
      <w:r>
        <w:rPr>
          <w:rStyle w:val="31"/>
          <w:rFonts w:hint="default" w:ascii="Times New Roman" w:hAnsi="Times New Roman" w:eastAsia="仿宋_GB2312" w:cs="Times New Roman"/>
          <w:color w:val="auto"/>
          <w:sz w:val="24"/>
        </w:rPr>
        <w:fldChar w:fldCharType="begin"/>
      </w:r>
      <w:r>
        <w:rPr>
          <w:rStyle w:val="31"/>
          <w:rFonts w:hint="default" w:ascii="Times New Roman" w:hAnsi="Times New Roman" w:eastAsia="仿宋_GB2312" w:cs="Times New Roman"/>
          <w:color w:val="auto"/>
          <w:sz w:val="24"/>
        </w:rPr>
        <w:instrText xml:space="preserve"> HYPERLINK "https://www.zhihu.com/search?q=%E4%B8%AD%E5%B0%8F%E4%BC%81%E4%B8%9A&amp;search_source=Entity&amp;hybrid_search_source=Entity&amp;hybrid_search_extra={"sourceType":"answer","sourceId":3052377712}" \t "_blank" </w:instrText>
      </w:r>
      <w:r>
        <w:rPr>
          <w:rStyle w:val="31"/>
          <w:rFonts w:hint="default" w:ascii="Times New Roman" w:hAnsi="Times New Roman" w:eastAsia="仿宋_GB2312" w:cs="Times New Roman"/>
          <w:color w:val="auto"/>
          <w:sz w:val="24"/>
        </w:rPr>
        <w:fldChar w:fldCharType="separate"/>
      </w:r>
      <w:r>
        <w:rPr>
          <w:rStyle w:val="31"/>
          <w:rFonts w:hint="default" w:ascii="Times New Roman" w:hAnsi="Times New Roman" w:eastAsia="仿宋_GB2312" w:cs="Times New Roman"/>
          <w:color w:val="auto"/>
          <w:sz w:val="24"/>
        </w:rPr>
        <w:t>中小企业</w:t>
      </w:r>
      <w:r>
        <w:rPr>
          <w:rStyle w:val="31"/>
          <w:rFonts w:hint="default" w:ascii="Times New Roman" w:hAnsi="Times New Roman" w:eastAsia="仿宋_GB2312" w:cs="Times New Roman"/>
          <w:color w:val="auto"/>
          <w:sz w:val="24"/>
        </w:rPr>
        <w:fldChar w:fldCharType="end"/>
      </w:r>
      <w:r>
        <w:rPr>
          <w:rStyle w:val="31"/>
          <w:rFonts w:hint="default" w:ascii="Times New Roman" w:hAnsi="Times New Roman" w:eastAsia="仿宋_GB2312" w:cs="Times New Roman"/>
          <w:color w:val="auto"/>
          <w:sz w:val="24"/>
        </w:rPr>
        <w:t>。“专精特新小巨人</w:t>
      </w:r>
      <w:r>
        <w:rPr>
          <w:rStyle w:val="31"/>
          <w:rFonts w:hint="default" w:ascii="Times New Roman" w:hAnsi="Times New Roman" w:eastAsia="仿宋_GB2312" w:cs="Times New Roman"/>
          <w:color w:val="auto"/>
          <w:sz w:val="24"/>
          <w:lang w:val="en-US" w:eastAsia="zh-CN"/>
        </w:rPr>
        <w:t>企业</w:t>
      </w:r>
      <w:r>
        <w:rPr>
          <w:rStyle w:val="31"/>
          <w:rFonts w:hint="default" w:ascii="Times New Roman" w:hAnsi="Times New Roman" w:eastAsia="仿宋_GB2312" w:cs="Times New Roman"/>
          <w:color w:val="auto"/>
          <w:sz w:val="24"/>
          <w:lang w:eastAsia="zh-CN"/>
        </w:rPr>
        <w:t>”</w:t>
      </w:r>
      <w:r>
        <w:rPr>
          <w:rStyle w:val="31"/>
          <w:rFonts w:hint="default" w:ascii="Times New Roman" w:hAnsi="Times New Roman" w:eastAsia="仿宋_GB2312" w:cs="Times New Roman"/>
          <w:color w:val="auto"/>
          <w:sz w:val="24"/>
          <w:lang w:val="en-US" w:eastAsia="zh-CN"/>
        </w:rPr>
        <w:t>指</w:t>
      </w:r>
      <w:r>
        <w:rPr>
          <w:rStyle w:val="31"/>
          <w:rFonts w:hint="default" w:ascii="Times New Roman" w:hAnsi="Times New Roman" w:eastAsia="仿宋_GB2312" w:cs="Times New Roman"/>
          <w:color w:val="auto"/>
          <w:sz w:val="24"/>
        </w:rPr>
        <w:t>专精特新企业中的佼佼者，是专注于细分市场、创新能力强、</w:t>
      </w:r>
      <w:r>
        <w:rPr>
          <w:rStyle w:val="31"/>
          <w:rFonts w:hint="default" w:ascii="Times New Roman" w:hAnsi="Times New Roman" w:eastAsia="仿宋_GB2312" w:cs="Times New Roman"/>
          <w:color w:val="auto"/>
          <w:sz w:val="24"/>
        </w:rPr>
        <w:fldChar w:fldCharType="begin"/>
      </w:r>
      <w:r>
        <w:rPr>
          <w:rStyle w:val="31"/>
          <w:rFonts w:hint="default" w:ascii="Times New Roman" w:hAnsi="Times New Roman" w:eastAsia="仿宋_GB2312" w:cs="Times New Roman"/>
          <w:color w:val="auto"/>
          <w:sz w:val="24"/>
        </w:rPr>
        <w:instrText xml:space="preserve"> HYPERLINK "https://www.zhihu.com/search?q=%E5%B8%82%E5%9C%BA%E5%8D%A0%E6%9C%89%E7%8E%87&amp;search_source=Entity&amp;hybrid_search_source=Entity&amp;hybrid_search_extra={"sourceType":"answer","sourceId":3052377712}" \t "https://www.zhihu.com/question/_blank" </w:instrText>
      </w:r>
      <w:r>
        <w:rPr>
          <w:rStyle w:val="31"/>
          <w:rFonts w:hint="default" w:ascii="Times New Roman" w:hAnsi="Times New Roman" w:eastAsia="仿宋_GB2312" w:cs="Times New Roman"/>
          <w:color w:val="auto"/>
          <w:sz w:val="24"/>
        </w:rPr>
        <w:fldChar w:fldCharType="separate"/>
      </w:r>
      <w:r>
        <w:rPr>
          <w:rStyle w:val="31"/>
          <w:rFonts w:hint="default" w:ascii="Times New Roman" w:hAnsi="Times New Roman" w:eastAsia="仿宋_GB2312" w:cs="Times New Roman"/>
          <w:color w:val="auto"/>
          <w:sz w:val="24"/>
        </w:rPr>
        <w:t>市场占有率</w:t>
      </w:r>
      <w:r>
        <w:rPr>
          <w:rStyle w:val="31"/>
          <w:rFonts w:hint="default" w:ascii="Times New Roman" w:hAnsi="Times New Roman" w:eastAsia="仿宋_GB2312" w:cs="Times New Roman"/>
          <w:color w:val="auto"/>
          <w:sz w:val="24"/>
        </w:rPr>
        <w:fldChar w:fldCharType="end"/>
      </w:r>
      <w:r>
        <w:rPr>
          <w:rStyle w:val="31"/>
          <w:rFonts w:hint="default" w:ascii="Times New Roman" w:hAnsi="Times New Roman" w:eastAsia="仿宋_GB2312" w:cs="Times New Roman"/>
          <w:color w:val="auto"/>
          <w:sz w:val="24"/>
        </w:rPr>
        <w:t>高、掌握关键核心技术、</w:t>
      </w:r>
      <w:r>
        <w:rPr>
          <w:rStyle w:val="31"/>
          <w:rFonts w:hint="default" w:ascii="Times New Roman" w:hAnsi="Times New Roman" w:eastAsia="仿宋_GB2312" w:cs="Times New Roman"/>
          <w:color w:val="auto"/>
          <w:sz w:val="24"/>
        </w:rPr>
        <w:fldChar w:fldCharType="begin"/>
      </w:r>
      <w:r>
        <w:rPr>
          <w:rStyle w:val="31"/>
          <w:rFonts w:hint="default" w:ascii="Times New Roman" w:hAnsi="Times New Roman" w:eastAsia="仿宋_GB2312" w:cs="Times New Roman"/>
          <w:color w:val="auto"/>
          <w:sz w:val="24"/>
        </w:rPr>
        <w:instrText xml:space="preserve"> HYPERLINK "https://www.zhihu.com/search?q=%E8%B4%A8%E9%87%8F%E6%95%88%E7%9B%8A&amp;search_source=Entity&amp;hybrid_search_source=Entity&amp;hybrid_search_extra={"sourceType":"answer","sourceId":3052377712}" \t "https://www.zhihu.com/question/_blank" </w:instrText>
      </w:r>
      <w:r>
        <w:rPr>
          <w:rStyle w:val="31"/>
          <w:rFonts w:hint="default" w:ascii="Times New Roman" w:hAnsi="Times New Roman" w:eastAsia="仿宋_GB2312" w:cs="Times New Roman"/>
          <w:color w:val="auto"/>
          <w:sz w:val="24"/>
        </w:rPr>
        <w:fldChar w:fldCharType="separate"/>
      </w:r>
      <w:r>
        <w:rPr>
          <w:rStyle w:val="31"/>
          <w:rFonts w:hint="default" w:ascii="Times New Roman" w:hAnsi="Times New Roman" w:eastAsia="仿宋_GB2312" w:cs="Times New Roman"/>
          <w:color w:val="auto"/>
          <w:sz w:val="24"/>
        </w:rPr>
        <w:t>质量效益</w:t>
      </w:r>
      <w:r>
        <w:rPr>
          <w:rStyle w:val="31"/>
          <w:rFonts w:hint="default" w:ascii="Times New Roman" w:hAnsi="Times New Roman" w:eastAsia="仿宋_GB2312" w:cs="Times New Roman"/>
          <w:color w:val="auto"/>
          <w:sz w:val="24"/>
        </w:rPr>
        <w:fldChar w:fldCharType="end"/>
      </w:r>
      <w:r>
        <w:rPr>
          <w:rStyle w:val="31"/>
          <w:rFonts w:hint="default" w:ascii="Times New Roman" w:hAnsi="Times New Roman" w:eastAsia="仿宋_GB2312" w:cs="Times New Roman"/>
          <w:color w:val="auto"/>
          <w:sz w:val="24"/>
        </w:rPr>
        <w:t>优的排头兵企业。</w:t>
      </w:r>
    </w:p>
    <w:p w14:paraId="3B9A78CE">
      <w:pPr>
        <w:keepNext w:val="0"/>
        <w:keepLines w:val="0"/>
        <w:pageBreakBefore w:val="0"/>
        <w:kinsoku/>
        <w:wordWrap/>
        <w:overflowPunct/>
        <w:topLinePunct w:val="0"/>
        <w:autoSpaceDE/>
        <w:autoSpaceDN/>
        <w:bidi w:val="0"/>
        <w:adjustRightInd/>
        <w:snapToGrid/>
        <w:spacing w:line="380" w:lineRule="exact"/>
        <w:ind w:firstLine="480" w:firstLineChars="200"/>
        <w:rPr>
          <w:rFonts w:hint="default" w:ascii="Times New Roman" w:hAnsi="Times New Roman" w:cs="Times New Roman"/>
          <w:color w:val="auto"/>
        </w:rPr>
      </w:pPr>
      <w:r>
        <w:rPr>
          <w:rStyle w:val="31"/>
          <w:rFonts w:hint="default" w:ascii="Times New Roman" w:hAnsi="Times New Roman" w:eastAsia="黑体" w:cs="Times New Roman"/>
          <w:color w:val="auto"/>
          <w:sz w:val="24"/>
        </w:rPr>
        <w:t>[2]“标准地”：</w:t>
      </w:r>
      <w:r>
        <w:rPr>
          <w:rStyle w:val="31"/>
          <w:rFonts w:hint="default" w:ascii="Times New Roman" w:hAnsi="Times New Roman" w:eastAsia="仿宋_GB2312" w:cs="Times New Roman"/>
          <w:color w:val="auto"/>
          <w:sz w:val="24"/>
        </w:rPr>
        <w:t>在完成相关区域评估基础上，明确固定资产投资强度、容积率、单位耗能标准、环境标准、亩均税收等指标履约承诺出让的国有建设用地。</w:t>
      </w:r>
    </w:p>
    <w:p w14:paraId="579C1F92">
      <w:pPr>
        <w:keepNext w:val="0"/>
        <w:keepLines w:val="0"/>
        <w:pageBreakBefore w:val="0"/>
        <w:kinsoku/>
        <w:wordWrap/>
        <w:overflowPunct/>
        <w:topLinePunct w:val="0"/>
        <w:autoSpaceDE/>
        <w:autoSpaceDN/>
        <w:bidi w:val="0"/>
        <w:adjustRightInd/>
        <w:snapToGrid/>
        <w:spacing w:line="380" w:lineRule="exact"/>
        <w:ind w:firstLine="480" w:firstLineChars="200"/>
        <w:rPr>
          <w:rStyle w:val="31"/>
          <w:rFonts w:hint="default" w:ascii="Times New Roman" w:hAnsi="Times New Roman" w:eastAsia="仿宋_GB2312" w:cs="Times New Roman"/>
          <w:color w:val="auto"/>
          <w:sz w:val="24"/>
          <w:lang w:val="en-US" w:eastAsia="zh-CN"/>
        </w:rPr>
      </w:pPr>
      <w:r>
        <w:rPr>
          <w:rStyle w:val="31"/>
          <w:rFonts w:hint="default" w:ascii="Times New Roman" w:hAnsi="Times New Roman" w:eastAsia="黑体" w:cs="Times New Roman"/>
          <w:color w:val="auto"/>
          <w:sz w:val="24"/>
        </w:rPr>
        <w:t>[</w:t>
      </w:r>
      <w:r>
        <w:rPr>
          <w:rStyle w:val="31"/>
          <w:rFonts w:hint="default" w:ascii="Times New Roman" w:hAnsi="Times New Roman" w:eastAsia="黑体" w:cs="Times New Roman"/>
          <w:color w:val="auto"/>
          <w:sz w:val="24"/>
          <w:lang w:val="en-US"/>
        </w:rPr>
        <w:t>3</w:t>
      </w:r>
      <w:r>
        <w:rPr>
          <w:rStyle w:val="31"/>
          <w:rFonts w:hint="default" w:ascii="Times New Roman" w:hAnsi="Times New Roman" w:eastAsia="黑体" w:cs="Times New Roman"/>
          <w:color w:val="auto"/>
          <w:sz w:val="24"/>
        </w:rPr>
        <w:t>]</w:t>
      </w:r>
      <w:r>
        <w:rPr>
          <w:rStyle w:val="31"/>
          <w:rFonts w:hint="default" w:ascii="Times New Roman" w:hAnsi="Times New Roman" w:eastAsia="黑体" w:cs="Times New Roman"/>
          <w:color w:val="auto"/>
          <w:sz w:val="24"/>
          <w:lang w:val="en-US" w:eastAsia="zh-CN"/>
        </w:rPr>
        <w:t>“一园两院一中心”：</w:t>
      </w:r>
      <w:r>
        <w:rPr>
          <w:rStyle w:val="31"/>
          <w:rFonts w:hint="default" w:ascii="Times New Roman" w:hAnsi="Times New Roman" w:eastAsia="仿宋_GB2312" w:cs="Times New Roman"/>
          <w:color w:val="auto"/>
          <w:sz w:val="24"/>
          <w:lang w:val="en-US" w:eastAsia="zh-CN"/>
        </w:rPr>
        <w:t>指雁山区科创园、雁山区产业研究院、粤港桂产业融合创新发展研究院和概念验证中心</w:t>
      </w:r>
      <w:r>
        <w:rPr>
          <w:rStyle w:val="31"/>
          <w:rFonts w:hint="default" w:ascii="Times New Roman" w:hAnsi="Times New Roman" w:cs="Times New Roman"/>
          <w:color w:val="auto"/>
          <w:sz w:val="24"/>
          <w:lang w:val="en-US" w:eastAsia="zh-CN"/>
        </w:rPr>
        <w:t>。</w:t>
      </w:r>
    </w:p>
    <w:p w14:paraId="65C58607">
      <w:pPr>
        <w:keepNext w:val="0"/>
        <w:keepLines w:val="0"/>
        <w:pageBreakBefore w:val="0"/>
        <w:kinsoku/>
        <w:wordWrap/>
        <w:overflowPunct/>
        <w:topLinePunct w:val="0"/>
        <w:autoSpaceDE/>
        <w:autoSpaceDN/>
        <w:bidi w:val="0"/>
        <w:adjustRightInd/>
        <w:snapToGrid/>
        <w:spacing w:line="380" w:lineRule="exact"/>
        <w:ind w:left="0" w:leftChars="0" w:firstLine="480" w:firstLineChars="200"/>
        <w:textAlignment w:val="auto"/>
        <w:rPr>
          <w:rStyle w:val="24"/>
          <w:rFonts w:hint="default" w:ascii="Times New Roman" w:hAnsi="Times New Roman" w:eastAsia="黑体" w:cs="Times New Roman"/>
          <w:b/>
          <w:bCs/>
          <w:color w:val="auto"/>
          <w:sz w:val="24"/>
          <w:szCs w:val="24"/>
          <w:highlight w:val="none"/>
          <w:lang w:val="en-US" w:eastAsia="zh-CN"/>
        </w:rPr>
      </w:pPr>
      <w:r>
        <w:rPr>
          <w:rStyle w:val="31"/>
          <w:rFonts w:hint="default" w:ascii="Times New Roman" w:hAnsi="Times New Roman" w:eastAsia="黑体" w:cs="Times New Roman"/>
          <w:color w:val="auto"/>
          <w:sz w:val="24"/>
          <w:lang w:val="en-US" w:eastAsia="zh-CN"/>
        </w:rPr>
        <w:t>[4]证照分离：</w:t>
      </w:r>
      <w:r>
        <w:rPr>
          <w:rStyle w:val="24"/>
          <w:rFonts w:hint="default" w:ascii="Times New Roman" w:hAnsi="Times New Roman" w:cs="Times New Roman"/>
          <w:b w:val="0"/>
          <w:bCs w:val="0"/>
          <w:color w:val="auto"/>
          <w:sz w:val="24"/>
          <w:szCs w:val="24"/>
          <w:highlight w:val="none"/>
          <w:lang w:val="en-US" w:eastAsia="zh-CN"/>
        </w:rPr>
        <w:t>“</w:t>
      </w:r>
      <w:r>
        <w:rPr>
          <w:rStyle w:val="24"/>
          <w:rFonts w:hint="default" w:ascii="Times New Roman" w:hAnsi="Times New Roman" w:cs="Times New Roman"/>
          <w:color w:val="auto"/>
          <w:sz w:val="24"/>
          <w:szCs w:val="24"/>
          <w:highlight w:val="none"/>
          <w:lang w:val="en-US" w:eastAsia="zh-CN"/>
        </w:rPr>
        <w:t>证”是各相关行业主管部门颁发的经营许可证，是特定行业的从业资格；“照”指的是工商部门颁发的营业执照，是对市场主体资格和一般营业能力的证明。“证照分离”改革，指的是通过有效区分“证”“照”功能；用适当管理方式将许可类的“证”分离出来，尽可能减少审批发证，让更多市场主体“照后能营、持照即营”。</w:t>
      </w:r>
    </w:p>
    <w:p w14:paraId="35FFC543">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rPr>
          <w:rStyle w:val="24"/>
          <w:rFonts w:hint="default" w:ascii="Times New Roman" w:hAnsi="Times New Roman" w:eastAsia="黑体" w:cs="Times New Roman"/>
          <w:b/>
          <w:bCs/>
          <w:color w:val="auto"/>
          <w:sz w:val="24"/>
          <w:szCs w:val="24"/>
          <w:highlight w:val="none"/>
          <w:lang w:val="en-US" w:eastAsia="zh-CN"/>
        </w:rPr>
      </w:pPr>
      <w:r>
        <w:rPr>
          <w:rStyle w:val="31"/>
          <w:rFonts w:hint="default" w:ascii="Times New Roman" w:hAnsi="Times New Roman" w:eastAsia="黑体" w:cs="Times New Roman"/>
          <w:color w:val="auto"/>
          <w:sz w:val="24"/>
          <w:lang w:val="en-US" w:eastAsia="zh-CN"/>
        </w:rPr>
        <w:t>[5]一网通办：</w:t>
      </w:r>
      <w:r>
        <w:rPr>
          <w:rStyle w:val="24"/>
          <w:rFonts w:hint="default" w:ascii="Times New Roman" w:hAnsi="Times New Roman" w:eastAsia="仿宋_GB2312" w:cs="Times New Roman"/>
          <w:color w:val="auto"/>
          <w:sz w:val="24"/>
          <w:szCs w:val="24"/>
          <w:highlight w:val="none"/>
          <w:lang w:val="en-US" w:eastAsia="zh-CN"/>
        </w:rPr>
        <w:t>指的是进一张网办全部事，打通不同部门的信息系统，群众只需操作一个办事系统，就能办成不同领域的事项，解决</w:t>
      </w:r>
      <w:r>
        <w:rPr>
          <w:rStyle w:val="24"/>
          <w:rFonts w:hint="default" w:ascii="Times New Roman" w:hAnsi="Times New Roman" w:cs="Times New Roman"/>
          <w:color w:val="auto"/>
          <w:sz w:val="24"/>
          <w:szCs w:val="24"/>
          <w:highlight w:val="none"/>
          <w:lang w:val="en-US" w:eastAsia="zh-CN"/>
        </w:rPr>
        <w:t>“</w:t>
      </w:r>
      <w:r>
        <w:rPr>
          <w:rStyle w:val="24"/>
          <w:rFonts w:hint="default" w:ascii="Times New Roman" w:hAnsi="Times New Roman" w:eastAsia="仿宋_GB2312" w:cs="Times New Roman"/>
          <w:color w:val="auto"/>
          <w:sz w:val="24"/>
          <w:szCs w:val="24"/>
          <w:highlight w:val="none"/>
          <w:lang w:val="en-US" w:eastAsia="zh-CN"/>
        </w:rPr>
        <w:t>办不完的手续、盖不完的章、跑不完的路</w:t>
      </w:r>
      <w:r>
        <w:rPr>
          <w:rStyle w:val="24"/>
          <w:rFonts w:hint="default" w:ascii="Times New Roman" w:hAnsi="Times New Roman" w:cs="Times New Roman"/>
          <w:color w:val="auto"/>
          <w:sz w:val="24"/>
          <w:szCs w:val="24"/>
          <w:highlight w:val="none"/>
          <w:lang w:val="en-US" w:eastAsia="zh-CN"/>
        </w:rPr>
        <w:t>”</w:t>
      </w:r>
      <w:r>
        <w:rPr>
          <w:rStyle w:val="24"/>
          <w:rFonts w:hint="default" w:ascii="Times New Roman" w:hAnsi="Times New Roman" w:eastAsia="仿宋_GB2312" w:cs="Times New Roman"/>
          <w:color w:val="auto"/>
          <w:sz w:val="24"/>
          <w:szCs w:val="24"/>
          <w:highlight w:val="none"/>
          <w:lang w:val="en-US" w:eastAsia="zh-CN"/>
        </w:rPr>
        <w:t>的问题。</w:t>
      </w:r>
    </w:p>
    <w:p w14:paraId="63050271">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0" w:rightChars="0" w:firstLine="480" w:firstLineChars="200"/>
        <w:textAlignment w:val="auto"/>
        <w:rPr>
          <w:rStyle w:val="24"/>
          <w:rFonts w:hint="default" w:ascii="Times New Roman" w:hAnsi="Times New Roman" w:eastAsia="黑体" w:cs="Times New Roman"/>
          <w:b/>
          <w:bCs/>
          <w:color w:val="auto"/>
          <w:sz w:val="24"/>
          <w:szCs w:val="24"/>
          <w:highlight w:val="none"/>
          <w:lang w:val="en-US" w:eastAsia="zh-CN"/>
        </w:rPr>
      </w:pPr>
      <w:r>
        <w:rPr>
          <w:rStyle w:val="31"/>
          <w:rFonts w:hint="default" w:ascii="Times New Roman" w:hAnsi="Times New Roman" w:eastAsia="黑体" w:cs="Times New Roman"/>
          <w:color w:val="auto"/>
          <w:sz w:val="24"/>
          <w:lang w:val="en-US" w:eastAsia="zh-CN"/>
        </w:rPr>
        <w:t>[6]三减一增：</w:t>
      </w:r>
      <w:r>
        <w:rPr>
          <w:rStyle w:val="24"/>
          <w:rFonts w:hint="default" w:ascii="Times New Roman" w:hAnsi="Times New Roman" w:eastAsia="仿宋_GB2312" w:cs="Times New Roman"/>
          <w:color w:val="auto"/>
          <w:sz w:val="24"/>
          <w:szCs w:val="24"/>
          <w:highlight w:val="none"/>
          <w:lang w:val="en-US" w:eastAsia="zh-CN"/>
        </w:rPr>
        <w:t>减环节、减时间、减材料、增质效、优服务。</w:t>
      </w:r>
    </w:p>
    <w:p w14:paraId="76AEA32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480" w:firstLineChars="200"/>
        <w:jc w:val="left"/>
        <w:textAlignment w:val="auto"/>
        <w:rPr>
          <w:rStyle w:val="24"/>
          <w:rFonts w:hint="default" w:ascii="Times New Roman" w:hAnsi="Times New Roman" w:eastAsia="黑体" w:cs="Times New Roman"/>
          <w:b/>
          <w:bCs/>
          <w:color w:val="auto"/>
          <w:sz w:val="24"/>
          <w:szCs w:val="24"/>
          <w:highlight w:val="none"/>
          <w:lang w:val="en-US" w:eastAsia="zh-CN"/>
        </w:rPr>
      </w:pPr>
      <w:r>
        <w:rPr>
          <w:rStyle w:val="31"/>
          <w:rFonts w:hint="default" w:ascii="Times New Roman" w:hAnsi="Times New Roman" w:eastAsia="黑体" w:cs="Times New Roman"/>
          <w:color w:val="auto"/>
          <w:sz w:val="24"/>
          <w:lang w:val="en-US" w:eastAsia="zh-CN"/>
        </w:rPr>
        <w:t>[7]“十有”园区：</w:t>
      </w:r>
      <w:r>
        <w:rPr>
          <w:rStyle w:val="24"/>
          <w:rFonts w:hint="default" w:ascii="Times New Roman" w:hAnsi="Times New Roman" w:cs="Times New Roman"/>
          <w:color w:val="auto"/>
          <w:sz w:val="24"/>
          <w:szCs w:val="24"/>
          <w:highlight w:val="none"/>
          <w:lang w:val="en-US" w:eastAsia="zh-CN"/>
        </w:rPr>
        <w:t>指园区内建设完善并投入使用以下十项配套设施：综合学校、综合医院、党群服务中心、体育活动场所、租赁住房小区、商业综合体、职工之家、平台公司、公安派出所、公交线路。</w:t>
      </w:r>
    </w:p>
    <w:p w14:paraId="16967957">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0" w:rightChars="0" w:firstLine="480" w:firstLineChars="200"/>
        <w:textAlignment w:val="auto"/>
        <w:rPr>
          <w:rStyle w:val="24"/>
          <w:rFonts w:hint="default" w:ascii="Times New Roman" w:hAnsi="Times New Roman" w:cs="Times New Roman"/>
          <w:color w:val="auto"/>
          <w:sz w:val="24"/>
          <w:szCs w:val="24"/>
          <w:highlight w:val="none"/>
          <w:lang w:val="en-US" w:eastAsia="zh-CN"/>
        </w:rPr>
      </w:pPr>
      <w:r>
        <w:rPr>
          <w:rStyle w:val="31"/>
          <w:rFonts w:hint="default" w:ascii="Times New Roman" w:hAnsi="Times New Roman" w:eastAsia="黑体" w:cs="Times New Roman"/>
          <w:color w:val="auto"/>
          <w:sz w:val="24"/>
          <w:lang w:val="en-US" w:eastAsia="zh-CN"/>
        </w:rPr>
        <w:t>[8]“</w:t>
      </w:r>
      <w:r>
        <w:rPr>
          <w:rStyle w:val="31"/>
          <w:rFonts w:hint="default" w:ascii="Times New Roman" w:hAnsi="Times New Roman" w:eastAsia="黑体" w:cs="Times New Roman"/>
          <w:color w:val="auto"/>
          <w:sz w:val="24"/>
        </w:rPr>
        <w:t>独角兽</w:t>
      </w:r>
      <w:r>
        <w:rPr>
          <w:rStyle w:val="31"/>
          <w:rFonts w:hint="default" w:ascii="Times New Roman" w:hAnsi="Times New Roman" w:eastAsia="黑体" w:cs="Times New Roman"/>
          <w:color w:val="auto"/>
          <w:sz w:val="24"/>
          <w:lang w:val="en-US" w:eastAsia="zh-CN"/>
        </w:rPr>
        <w:t>企业”：</w:t>
      </w:r>
      <w:r>
        <w:rPr>
          <w:rStyle w:val="24"/>
          <w:rFonts w:hint="default" w:ascii="Times New Roman" w:hAnsi="Times New Roman" w:cs="Times New Roman"/>
          <w:color w:val="auto"/>
          <w:sz w:val="24"/>
          <w:szCs w:val="24"/>
          <w:highlight w:val="none"/>
        </w:rPr>
        <w:t>指估值在10亿美元以上，创办时间较短，在行业中有颠覆式创新，发挥着引领作用的企业。</w:t>
      </w:r>
    </w:p>
    <w:p w14:paraId="45ED701D">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firstLine="480" w:firstLineChars="200"/>
        <w:textAlignment w:val="auto"/>
        <w:rPr>
          <w:rStyle w:val="24"/>
          <w:rFonts w:hint="default" w:ascii="Times New Roman" w:hAnsi="Times New Roman" w:cs="Times New Roman"/>
          <w:color w:val="auto"/>
          <w:sz w:val="24"/>
          <w:szCs w:val="24"/>
          <w:highlight w:val="none"/>
        </w:rPr>
      </w:pPr>
      <w:r>
        <w:rPr>
          <w:rStyle w:val="31"/>
          <w:rFonts w:hint="default" w:ascii="Times New Roman" w:hAnsi="Times New Roman" w:eastAsia="黑体" w:cs="Times New Roman"/>
          <w:color w:val="auto"/>
          <w:sz w:val="24"/>
          <w:lang w:val="en-US" w:eastAsia="zh-CN"/>
        </w:rPr>
        <w:t>[9]</w:t>
      </w:r>
      <w:r>
        <w:rPr>
          <w:rStyle w:val="31"/>
          <w:rFonts w:hint="default" w:ascii="Times New Roman" w:hAnsi="Times New Roman" w:eastAsia="黑体" w:cs="Times New Roman"/>
          <w:color w:val="auto"/>
          <w:sz w:val="24"/>
          <w:lang w:eastAsia="zh-CN"/>
        </w:rPr>
        <w:t>“</w:t>
      </w:r>
      <w:r>
        <w:rPr>
          <w:rStyle w:val="31"/>
          <w:rFonts w:hint="default" w:ascii="Times New Roman" w:hAnsi="Times New Roman" w:eastAsia="黑体" w:cs="Times New Roman"/>
          <w:color w:val="auto"/>
          <w:sz w:val="24"/>
        </w:rPr>
        <w:t>广西瞪羚</w:t>
      </w:r>
      <w:r>
        <w:rPr>
          <w:rStyle w:val="31"/>
          <w:rFonts w:hint="default" w:ascii="Times New Roman" w:hAnsi="Times New Roman" w:eastAsia="黑体" w:cs="Times New Roman"/>
          <w:color w:val="auto"/>
          <w:sz w:val="24"/>
          <w:lang w:val="en-US" w:eastAsia="zh-CN"/>
        </w:rPr>
        <w:t>企业</w:t>
      </w:r>
      <w:r>
        <w:rPr>
          <w:rStyle w:val="31"/>
          <w:rFonts w:hint="default" w:ascii="Times New Roman" w:hAnsi="Times New Roman" w:eastAsia="黑体" w:cs="Times New Roman"/>
          <w:color w:val="auto"/>
          <w:sz w:val="24"/>
        </w:rPr>
        <w:t>”：</w:t>
      </w:r>
      <w:r>
        <w:rPr>
          <w:rStyle w:val="24"/>
          <w:rFonts w:hint="default" w:ascii="Times New Roman" w:hAnsi="Times New Roman" w:cs="Times New Roman"/>
          <w:color w:val="auto"/>
          <w:sz w:val="24"/>
          <w:szCs w:val="24"/>
          <w:highlight w:val="none"/>
        </w:rPr>
        <w:t>指在广西行政区域内注册3年以上的、掌握核心技术、进入快速成长阶段的创新创业企业，具有成长速度快、创新能力强、产业业态新、发展潜力大等特征，拥有自己的研发机构（如工程技术研究中心、企业技术中心）和研发人员，具备持续创新能力和市场开发能力，制定了企业研发管理制度的企业。</w:t>
      </w:r>
    </w:p>
    <w:p w14:paraId="09DF4780">
      <w:pPr>
        <w:keepNext w:val="0"/>
        <w:keepLines w:val="0"/>
        <w:pageBreakBefore w:val="0"/>
        <w:kinsoku/>
        <w:wordWrap/>
        <w:overflowPunct/>
        <w:topLinePunct w:val="0"/>
        <w:autoSpaceDE/>
        <w:autoSpaceDN/>
        <w:bidi w:val="0"/>
        <w:adjustRightInd/>
        <w:snapToGrid/>
        <w:spacing w:line="380" w:lineRule="exact"/>
        <w:ind w:firstLine="480" w:firstLineChars="200"/>
        <w:rPr>
          <w:rFonts w:hint="default" w:ascii="Times New Roman" w:hAnsi="Times New Roman" w:cs="Times New Roman"/>
          <w:color w:val="auto"/>
          <w:lang w:val="en-US" w:eastAsia="zh-CN"/>
        </w:rPr>
      </w:pPr>
      <w:r>
        <w:rPr>
          <w:rStyle w:val="31"/>
          <w:rFonts w:hint="default" w:ascii="Times New Roman" w:hAnsi="Times New Roman" w:eastAsia="黑体" w:cs="Times New Roman"/>
          <w:color w:val="auto"/>
          <w:sz w:val="24"/>
        </w:rPr>
        <w:t>[1</w:t>
      </w:r>
      <w:r>
        <w:rPr>
          <w:rStyle w:val="31"/>
          <w:rFonts w:hint="default" w:ascii="Times New Roman" w:hAnsi="Times New Roman" w:eastAsia="黑体" w:cs="Times New Roman"/>
          <w:color w:val="auto"/>
          <w:sz w:val="24"/>
          <w:lang w:val="en-US"/>
        </w:rPr>
        <w:t>0</w:t>
      </w:r>
      <w:r>
        <w:rPr>
          <w:rStyle w:val="31"/>
          <w:rFonts w:hint="default" w:ascii="Times New Roman" w:hAnsi="Times New Roman" w:eastAsia="黑体" w:cs="Times New Roman"/>
          <w:color w:val="auto"/>
          <w:sz w:val="24"/>
        </w:rPr>
        <w:t>]“一区两地一园一通道”：</w:t>
      </w:r>
      <w:r>
        <w:rPr>
          <w:rStyle w:val="31"/>
          <w:rFonts w:hint="default" w:ascii="Times New Roman" w:hAnsi="Times New Roman" w:eastAsia="仿宋_GB2312" w:cs="Times New Roman"/>
          <w:color w:val="auto"/>
          <w:sz w:val="24"/>
        </w:rPr>
        <w:t>“</w:t>
      </w:r>
      <w:r>
        <w:rPr>
          <w:rStyle w:val="31"/>
          <w:rFonts w:hint="default" w:ascii="Times New Roman" w:hAnsi="Times New Roman" w:eastAsia="仿宋_GB2312" w:cs="Times New Roman"/>
          <w:color w:val="auto"/>
          <w:sz w:val="24"/>
          <w:lang w:val="en-US"/>
        </w:rPr>
        <w:t>一区</w:t>
      </w:r>
      <w:r>
        <w:rPr>
          <w:rStyle w:val="31"/>
          <w:rFonts w:hint="default" w:ascii="Times New Roman" w:hAnsi="Times New Roman" w:eastAsia="仿宋_GB2312" w:cs="Times New Roman"/>
          <w:color w:val="auto"/>
          <w:sz w:val="24"/>
        </w:rPr>
        <w:t>”</w:t>
      </w:r>
      <w:r>
        <w:rPr>
          <w:rStyle w:val="31"/>
          <w:rFonts w:hint="default" w:ascii="Times New Roman" w:hAnsi="Times New Roman" w:eastAsia="仿宋_GB2312" w:cs="Times New Roman"/>
          <w:color w:val="auto"/>
          <w:sz w:val="24"/>
          <w:lang w:val="en-US"/>
        </w:rPr>
        <w:t>即</w:t>
      </w:r>
      <w:r>
        <w:rPr>
          <w:rStyle w:val="31"/>
          <w:rFonts w:hint="default" w:ascii="Times New Roman" w:hAnsi="Times New Roman" w:eastAsia="仿宋_GB2312" w:cs="Times New Roman"/>
          <w:color w:val="auto"/>
          <w:sz w:val="24"/>
        </w:rPr>
        <w:t>建设铸牢中华民族共同体意识示范区，“</w:t>
      </w:r>
      <w:r>
        <w:rPr>
          <w:rStyle w:val="31"/>
          <w:rFonts w:hint="default" w:ascii="Times New Roman" w:hAnsi="Times New Roman" w:eastAsia="仿宋_GB2312" w:cs="Times New Roman"/>
          <w:color w:val="auto"/>
          <w:sz w:val="24"/>
          <w:lang w:val="en-US"/>
        </w:rPr>
        <w:t>两地</w:t>
      </w:r>
      <w:r>
        <w:rPr>
          <w:rStyle w:val="31"/>
          <w:rFonts w:hint="default" w:ascii="Times New Roman" w:hAnsi="Times New Roman" w:eastAsia="仿宋_GB2312" w:cs="Times New Roman"/>
          <w:color w:val="auto"/>
          <w:sz w:val="24"/>
        </w:rPr>
        <w:t>”</w:t>
      </w:r>
      <w:r>
        <w:rPr>
          <w:rStyle w:val="31"/>
          <w:rFonts w:hint="default" w:ascii="Times New Roman" w:hAnsi="Times New Roman" w:eastAsia="仿宋_GB2312" w:cs="Times New Roman"/>
          <w:color w:val="auto"/>
          <w:sz w:val="24"/>
          <w:lang w:val="en-US"/>
        </w:rPr>
        <w:t>即</w:t>
      </w:r>
      <w:r>
        <w:rPr>
          <w:rStyle w:val="31"/>
          <w:rFonts w:hint="default" w:ascii="Times New Roman" w:hAnsi="Times New Roman" w:eastAsia="仿宋_GB2312" w:cs="Times New Roman"/>
          <w:color w:val="auto"/>
          <w:sz w:val="24"/>
        </w:rPr>
        <w:t>打造国内国际双循环市场经营便利地、成为粤港澳大湾区的重要战略腹地，“</w:t>
      </w:r>
      <w:r>
        <w:rPr>
          <w:rStyle w:val="31"/>
          <w:rFonts w:hint="default" w:ascii="Times New Roman" w:hAnsi="Times New Roman" w:eastAsia="仿宋_GB2312" w:cs="Times New Roman"/>
          <w:color w:val="auto"/>
          <w:sz w:val="24"/>
          <w:lang w:val="en-US"/>
        </w:rPr>
        <w:t>一园</w:t>
      </w:r>
      <w:r>
        <w:rPr>
          <w:rStyle w:val="31"/>
          <w:rFonts w:hint="default" w:ascii="Times New Roman" w:hAnsi="Times New Roman" w:eastAsia="仿宋_GB2312" w:cs="Times New Roman"/>
          <w:color w:val="auto"/>
          <w:sz w:val="24"/>
        </w:rPr>
        <w:t>”</w:t>
      </w:r>
      <w:r>
        <w:rPr>
          <w:rStyle w:val="31"/>
          <w:rFonts w:hint="default" w:ascii="Times New Roman" w:hAnsi="Times New Roman" w:eastAsia="仿宋_GB2312" w:cs="Times New Roman"/>
          <w:color w:val="auto"/>
          <w:sz w:val="24"/>
          <w:lang w:val="en-US"/>
        </w:rPr>
        <w:t>即</w:t>
      </w:r>
      <w:r>
        <w:rPr>
          <w:rStyle w:val="31"/>
          <w:rFonts w:hint="default" w:ascii="Times New Roman" w:hAnsi="Times New Roman" w:eastAsia="仿宋_GB2312" w:cs="Times New Roman"/>
          <w:color w:val="auto"/>
          <w:sz w:val="24"/>
        </w:rPr>
        <w:t>建设沿边临港产业园区，“</w:t>
      </w:r>
      <w:r>
        <w:rPr>
          <w:rStyle w:val="31"/>
          <w:rFonts w:hint="default" w:ascii="Times New Roman" w:hAnsi="Times New Roman" w:eastAsia="仿宋_GB2312" w:cs="Times New Roman"/>
          <w:color w:val="auto"/>
          <w:sz w:val="24"/>
          <w:lang w:val="en-US"/>
        </w:rPr>
        <w:t>一通道</w:t>
      </w:r>
      <w:r>
        <w:rPr>
          <w:rStyle w:val="31"/>
          <w:rFonts w:hint="default" w:ascii="Times New Roman" w:hAnsi="Times New Roman" w:eastAsia="仿宋_GB2312" w:cs="Times New Roman"/>
          <w:color w:val="auto"/>
          <w:sz w:val="24"/>
        </w:rPr>
        <w:t>”</w:t>
      </w:r>
      <w:r>
        <w:rPr>
          <w:rStyle w:val="31"/>
          <w:rFonts w:hint="default" w:ascii="Times New Roman" w:hAnsi="Times New Roman" w:eastAsia="仿宋_GB2312" w:cs="Times New Roman"/>
          <w:color w:val="auto"/>
          <w:sz w:val="24"/>
          <w:lang w:val="en-US"/>
        </w:rPr>
        <w:t>即</w:t>
      </w:r>
      <w:r>
        <w:rPr>
          <w:rStyle w:val="31"/>
          <w:rFonts w:hint="default" w:ascii="Times New Roman" w:hAnsi="Times New Roman" w:eastAsia="仿宋_GB2312" w:cs="Times New Roman"/>
          <w:color w:val="auto"/>
          <w:sz w:val="24"/>
        </w:rPr>
        <w:t>高水平共建西部陆海新通道。</w:t>
      </w:r>
    </w:p>
    <w:sectPr>
      <w:footerReference r:id="rId5" w:type="default"/>
      <w:pgSz w:w="11906" w:h="16838"/>
      <w:pgMar w:top="2098" w:right="1304" w:bottom="130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4A">
    <w:pPr>
      <w:pStyle w:val="5"/>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FDB1">
                          <w:pPr>
                            <w:pStyle w:val="5"/>
                            <w:ind w:left="0" w:leftChars="0" w:firstLine="0" w:firstLineChars="0"/>
                            <w:rPr>
                              <w:rFonts w:hint="default" w:ascii="Times New Roman" w:hAnsi="Times New Roman" w:eastAsia="宋体" w:cs="Times New Roman"/>
                              <w:sz w:val="32"/>
                              <w:szCs w:val="32"/>
                            </w:rPr>
                          </w:pPr>
                          <w:r>
                            <w:rPr>
                              <w:rFonts w:hint="default" w:eastAsia="宋体" w:cs="Times New Roman"/>
                              <w:sz w:val="32"/>
                              <w:szCs w:val="32"/>
                            </w:rPr>
                            <w:t xml:space="preserve">— </w:t>
                          </w:r>
                          <w:r>
                            <w:rPr>
                              <w:rFonts w:hint="default" w:eastAsia="宋体" w:cs="Times New Roman"/>
                              <w:sz w:val="32"/>
                              <w:szCs w:val="32"/>
                            </w:rPr>
                            <w:fldChar w:fldCharType="begin"/>
                          </w:r>
                          <w:r>
                            <w:rPr>
                              <w:rFonts w:hint="default" w:eastAsia="宋体" w:cs="Times New Roman"/>
                              <w:sz w:val="32"/>
                              <w:szCs w:val="32"/>
                            </w:rPr>
                            <w:instrText xml:space="preserve"> PAGE  \* MERGEFORMAT </w:instrText>
                          </w:r>
                          <w:r>
                            <w:rPr>
                              <w:rFonts w:hint="default" w:eastAsia="宋体" w:cs="Times New Roman"/>
                              <w:sz w:val="32"/>
                              <w:szCs w:val="32"/>
                            </w:rPr>
                            <w:fldChar w:fldCharType="separate"/>
                          </w:r>
                          <w:r>
                            <w:rPr>
                              <w:rFonts w:hint="default" w:eastAsia="宋体" w:cs="Times New Roman"/>
                              <w:sz w:val="32"/>
                              <w:szCs w:val="32"/>
                            </w:rPr>
                            <w:t>- 1 -</w:t>
                          </w:r>
                          <w:r>
                            <w:rPr>
                              <w:rFonts w:hint="default" w:eastAsia="宋体" w:cs="Times New Roman"/>
                              <w:sz w:val="32"/>
                              <w:szCs w:val="32"/>
                            </w:rPr>
                            <w:fldChar w:fldCharType="end"/>
                          </w:r>
                          <w:r>
                            <w:rPr>
                              <w:rFonts w:hint="default" w:eastAsia="宋体"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D0FDB1">
                    <w:pPr>
                      <w:pStyle w:val="5"/>
                      <w:ind w:left="0" w:leftChars="0" w:firstLine="0" w:firstLineChars="0"/>
                      <w:rPr>
                        <w:rFonts w:hint="default" w:ascii="Times New Roman" w:hAnsi="Times New Roman" w:eastAsia="宋体" w:cs="Times New Roman"/>
                        <w:sz w:val="32"/>
                        <w:szCs w:val="32"/>
                      </w:rPr>
                    </w:pPr>
                    <w:r>
                      <w:rPr>
                        <w:rFonts w:hint="default" w:eastAsia="宋体" w:cs="Times New Roman"/>
                        <w:sz w:val="32"/>
                        <w:szCs w:val="32"/>
                      </w:rPr>
                      <w:t xml:space="preserve">— </w:t>
                    </w:r>
                    <w:r>
                      <w:rPr>
                        <w:rFonts w:hint="default" w:eastAsia="宋体" w:cs="Times New Roman"/>
                        <w:sz w:val="32"/>
                        <w:szCs w:val="32"/>
                      </w:rPr>
                      <w:fldChar w:fldCharType="begin"/>
                    </w:r>
                    <w:r>
                      <w:rPr>
                        <w:rFonts w:hint="default" w:eastAsia="宋体" w:cs="Times New Roman"/>
                        <w:sz w:val="32"/>
                        <w:szCs w:val="32"/>
                      </w:rPr>
                      <w:instrText xml:space="preserve"> PAGE  \* MERGEFORMAT </w:instrText>
                    </w:r>
                    <w:r>
                      <w:rPr>
                        <w:rFonts w:hint="default" w:eastAsia="宋体" w:cs="Times New Roman"/>
                        <w:sz w:val="32"/>
                        <w:szCs w:val="32"/>
                      </w:rPr>
                      <w:fldChar w:fldCharType="separate"/>
                    </w:r>
                    <w:r>
                      <w:rPr>
                        <w:rFonts w:hint="default" w:eastAsia="宋体" w:cs="Times New Roman"/>
                        <w:sz w:val="32"/>
                        <w:szCs w:val="32"/>
                      </w:rPr>
                      <w:t>- 1 -</w:t>
                    </w:r>
                    <w:r>
                      <w:rPr>
                        <w:rFonts w:hint="default" w:eastAsia="宋体" w:cs="Times New Roman"/>
                        <w:sz w:val="32"/>
                        <w:szCs w:val="32"/>
                      </w:rPr>
                      <w:fldChar w:fldCharType="end"/>
                    </w:r>
                    <w:r>
                      <w:rPr>
                        <w:rFonts w:hint="default" w:eastAsia="宋体" w:cs="Times New Roman"/>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WFjOGEwZDQxZGJmNWYwNTM2MzQyMWRmODBlODcifQ=="/>
    <w:docVar w:name="KSO_WPS_MARK_KEY" w:val="d5979448-1bf2-44c8-8bf2-52cd542cfe95"/>
  </w:docVars>
  <w:rsids>
    <w:rsidRoot w:val="42610A4A"/>
    <w:rsid w:val="000A0E6D"/>
    <w:rsid w:val="0025508E"/>
    <w:rsid w:val="003C0758"/>
    <w:rsid w:val="00487A8C"/>
    <w:rsid w:val="00732847"/>
    <w:rsid w:val="00746E2D"/>
    <w:rsid w:val="00AB0EE4"/>
    <w:rsid w:val="00CD3F50"/>
    <w:rsid w:val="00DB1644"/>
    <w:rsid w:val="00EE311C"/>
    <w:rsid w:val="00EE50FB"/>
    <w:rsid w:val="01196C43"/>
    <w:rsid w:val="011D3349"/>
    <w:rsid w:val="01212BF9"/>
    <w:rsid w:val="01737735"/>
    <w:rsid w:val="01C72AFB"/>
    <w:rsid w:val="01EE77A2"/>
    <w:rsid w:val="02007D17"/>
    <w:rsid w:val="02545BB5"/>
    <w:rsid w:val="02611310"/>
    <w:rsid w:val="02621B9D"/>
    <w:rsid w:val="02630E9C"/>
    <w:rsid w:val="02864E9E"/>
    <w:rsid w:val="03011298"/>
    <w:rsid w:val="03087CFB"/>
    <w:rsid w:val="032E54B9"/>
    <w:rsid w:val="032E73A4"/>
    <w:rsid w:val="033F5687"/>
    <w:rsid w:val="034540FE"/>
    <w:rsid w:val="0365677A"/>
    <w:rsid w:val="036E54BC"/>
    <w:rsid w:val="03952AB2"/>
    <w:rsid w:val="039F6103"/>
    <w:rsid w:val="03C1296C"/>
    <w:rsid w:val="03EC4738"/>
    <w:rsid w:val="04292110"/>
    <w:rsid w:val="04411CBC"/>
    <w:rsid w:val="045A239B"/>
    <w:rsid w:val="04CA01A5"/>
    <w:rsid w:val="04D5109A"/>
    <w:rsid w:val="04F41CB7"/>
    <w:rsid w:val="05242A4C"/>
    <w:rsid w:val="052E5E57"/>
    <w:rsid w:val="05314972"/>
    <w:rsid w:val="056B57D5"/>
    <w:rsid w:val="05A258EE"/>
    <w:rsid w:val="05D74047"/>
    <w:rsid w:val="05EC796D"/>
    <w:rsid w:val="0602490C"/>
    <w:rsid w:val="06130629"/>
    <w:rsid w:val="06861D42"/>
    <w:rsid w:val="068E71BB"/>
    <w:rsid w:val="06C12A4B"/>
    <w:rsid w:val="06C207D7"/>
    <w:rsid w:val="06E01BD7"/>
    <w:rsid w:val="07356D81"/>
    <w:rsid w:val="07386444"/>
    <w:rsid w:val="073E48D8"/>
    <w:rsid w:val="07561859"/>
    <w:rsid w:val="07600CD6"/>
    <w:rsid w:val="076B5F2D"/>
    <w:rsid w:val="07787C47"/>
    <w:rsid w:val="078B7C9F"/>
    <w:rsid w:val="07AA3F97"/>
    <w:rsid w:val="07BC0A66"/>
    <w:rsid w:val="07E91BBE"/>
    <w:rsid w:val="07F53953"/>
    <w:rsid w:val="07FF7888"/>
    <w:rsid w:val="080525D0"/>
    <w:rsid w:val="08053D4D"/>
    <w:rsid w:val="080816F6"/>
    <w:rsid w:val="085332E5"/>
    <w:rsid w:val="085957AE"/>
    <w:rsid w:val="08942675"/>
    <w:rsid w:val="08BF1FEA"/>
    <w:rsid w:val="090541CC"/>
    <w:rsid w:val="090B083D"/>
    <w:rsid w:val="09190F79"/>
    <w:rsid w:val="093C6AA6"/>
    <w:rsid w:val="0958413C"/>
    <w:rsid w:val="09644E8F"/>
    <w:rsid w:val="09853121"/>
    <w:rsid w:val="09D516AE"/>
    <w:rsid w:val="09FF44F3"/>
    <w:rsid w:val="09FF49FA"/>
    <w:rsid w:val="0A312132"/>
    <w:rsid w:val="0A7F3739"/>
    <w:rsid w:val="0AA32047"/>
    <w:rsid w:val="0AC233A2"/>
    <w:rsid w:val="0AD6430A"/>
    <w:rsid w:val="0B7D3FF4"/>
    <w:rsid w:val="0B960634"/>
    <w:rsid w:val="0BB54C68"/>
    <w:rsid w:val="0BD862E3"/>
    <w:rsid w:val="0BDF3323"/>
    <w:rsid w:val="0BFE458E"/>
    <w:rsid w:val="0C3835C1"/>
    <w:rsid w:val="0C7574BA"/>
    <w:rsid w:val="0C804886"/>
    <w:rsid w:val="0C8820B7"/>
    <w:rsid w:val="0CC136E5"/>
    <w:rsid w:val="0CEF0828"/>
    <w:rsid w:val="0D00670F"/>
    <w:rsid w:val="0D2F2BB8"/>
    <w:rsid w:val="0D312202"/>
    <w:rsid w:val="0D35017D"/>
    <w:rsid w:val="0D4A25AA"/>
    <w:rsid w:val="0D8445D6"/>
    <w:rsid w:val="0D8A2F07"/>
    <w:rsid w:val="0DA416B5"/>
    <w:rsid w:val="0DD12039"/>
    <w:rsid w:val="0DDA3A8D"/>
    <w:rsid w:val="0DE83959"/>
    <w:rsid w:val="0E0A1AD2"/>
    <w:rsid w:val="0E556E1F"/>
    <w:rsid w:val="0E7877C2"/>
    <w:rsid w:val="0E8D6B7E"/>
    <w:rsid w:val="0E9D27D5"/>
    <w:rsid w:val="0EED3323"/>
    <w:rsid w:val="0EF867E9"/>
    <w:rsid w:val="0F0727AD"/>
    <w:rsid w:val="0F1648DA"/>
    <w:rsid w:val="0F1757EA"/>
    <w:rsid w:val="0F427D63"/>
    <w:rsid w:val="0F5A2488"/>
    <w:rsid w:val="0F903CDA"/>
    <w:rsid w:val="0FB34781"/>
    <w:rsid w:val="0FC37D4F"/>
    <w:rsid w:val="100C1C56"/>
    <w:rsid w:val="106A34E8"/>
    <w:rsid w:val="10D218FC"/>
    <w:rsid w:val="10E97628"/>
    <w:rsid w:val="11140FF7"/>
    <w:rsid w:val="111F73EE"/>
    <w:rsid w:val="112E0B6A"/>
    <w:rsid w:val="11336EE8"/>
    <w:rsid w:val="11394F51"/>
    <w:rsid w:val="11472E91"/>
    <w:rsid w:val="114F02B8"/>
    <w:rsid w:val="11567E25"/>
    <w:rsid w:val="118119D2"/>
    <w:rsid w:val="11A1475D"/>
    <w:rsid w:val="11AB31B2"/>
    <w:rsid w:val="11C219F7"/>
    <w:rsid w:val="11D20AD6"/>
    <w:rsid w:val="11D21A9A"/>
    <w:rsid w:val="11EF06C6"/>
    <w:rsid w:val="11F37374"/>
    <w:rsid w:val="12022D58"/>
    <w:rsid w:val="124B2EA5"/>
    <w:rsid w:val="127B250F"/>
    <w:rsid w:val="129A3CB2"/>
    <w:rsid w:val="12D244D8"/>
    <w:rsid w:val="12D3237F"/>
    <w:rsid w:val="12EA08CB"/>
    <w:rsid w:val="13202A33"/>
    <w:rsid w:val="13B462E2"/>
    <w:rsid w:val="13CA396E"/>
    <w:rsid w:val="142E194C"/>
    <w:rsid w:val="143C61E5"/>
    <w:rsid w:val="14983430"/>
    <w:rsid w:val="151A1BF8"/>
    <w:rsid w:val="156F13B8"/>
    <w:rsid w:val="159E2776"/>
    <w:rsid w:val="15B50966"/>
    <w:rsid w:val="15D4015E"/>
    <w:rsid w:val="15F65EC1"/>
    <w:rsid w:val="15FA0F22"/>
    <w:rsid w:val="15FD7C9A"/>
    <w:rsid w:val="16501A64"/>
    <w:rsid w:val="1673584B"/>
    <w:rsid w:val="16A834B6"/>
    <w:rsid w:val="16AE51D5"/>
    <w:rsid w:val="16E75AA1"/>
    <w:rsid w:val="16F0239B"/>
    <w:rsid w:val="172D2FC9"/>
    <w:rsid w:val="177070BD"/>
    <w:rsid w:val="17847D04"/>
    <w:rsid w:val="17AC714E"/>
    <w:rsid w:val="17D739AA"/>
    <w:rsid w:val="17E61044"/>
    <w:rsid w:val="17FB1DF1"/>
    <w:rsid w:val="1801183A"/>
    <w:rsid w:val="18342816"/>
    <w:rsid w:val="18452B7B"/>
    <w:rsid w:val="188C60B8"/>
    <w:rsid w:val="18915206"/>
    <w:rsid w:val="18BF3677"/>
    <w:rsid w:val="18DB0798"/>
    <w:rsid w:val="18F17520"/>
    <w:rsid w:val="18FA2E1E"/>
    <w:rsid w:val="19106F09"/>
    <w:rsid w:val="19361F89"/>
    <w:rsid w:val="1939232B"/>
    <w:rsid w:val="193D2932"/>
    <w:rsid w:val="194A0B33"/>
    <w:rsid w:val="19577154"/>
    <w:rsid w:val="197A7D60"/>
    <w:rsid w:val="19855FF3"/>
    <w:rsid w:val="1991778E"/>
    <w:rsid w:val="19946695"/>
    <w:rsid w:val="199D5FE2"/>
    <w:rsid w:val="19C51BBE"/>
    <w:rsid w:val="1A4D596D"/>
    <w:rsid w:val="1A5B6B2C"/>
    <w:rsid w:val="1A9178BD"/>
    <w:rsid w:val="1A9A7359"/>
    <w:rsid w:val="1AC5180B"/>
    <w:rsid w:val="1AD35F64"/>
    <w:rsid w:val="1AFD0DBB"/>
    <w:rsid w:val="1B3D77A8"/>
    <w:rsid w:val="1B5979EB"/>
    <w:rsid w:val="1B5A4243"/>
    <w:rsid w:val="1BB44650"/>
    <w:rsid w:val="1C161AA9"/>
    <w:rsid w:val="1C350A11"/>
    <w:rsid w:val="1C377BFD"/>
    <w:rsid w:val="1C714B0F"/>
    <w:rsid w:val="1C802949"/>
    <w:rsid w:val="1CE85629"/>
    <w:rsid w:val="1D555279"/>
    <w:rsid w:val="1D6E59BA"/>
    <w:rsid w:val="1D910128"/>
    <w:rsid w:val="1DA8639C"/>
    <w:rsid w:val="1DCA47BD"/>
    <w:rsid w:val="1DDE3FA5"/>
    <w:rsid w:val="1DFE13EA"/>
    <w:rsid w:val="1DFF3FCB"/>
    <w:rsid w:val="1E387C81"/>
    <w:rsid w:val="1E7C4002"/>
    <w:rsid w:val="1E883BB3"/>
    <w:rsid w:val="1ED02702"/>
    <w:rsid w:val="1ED464BF"/>
    <w:rsid w:val="1EE404EC"/>
    <w:rsid w:val="1EF01E9A"/>
    <w:rsid w:val="1F0D4ED5"/>
    <w:rsid w:val="1F197E7E"/>
    <w:rsid w:val="1F1C7EAE"/>
    <w:rsid w:val="1F2D45E3"/>
    <w:rsid w:val="1F325F8C"/>
    <w:rsid w:val="1F3E2968"/>
    <w:rsid w:val="1F592766"/>
    <w:rsid w:val="1FB94892"/>
    <w:rsid w:val="1FED0BD5"/>
    <w:rsid w:val="1FFB7491"/>
    <w:rsid w:val="20450EE3"/>
    <w:rsid w:val="2053591C"/>
    <w:rsid w:val="205D4B69"/>
    <w:rsid w:val="206577F7"/>
    <w:rsid w:val="20A861D1"/>
    <w:rsid w:val="20AF7547"/>
    <w:rsid w:val="20B032D1"/>
    <w:rsid w:val="20DD2BDB"/>
    <w:rsid w:val="20E00ACA"/>
    <w:rsid w:val="20F32811"/>
    <w:rsid w:val="210C3FE9"/>
    <w:rsid w:val="215A36B5"/>
    <w:rsid w:val="21B417C2"/>
    <w:rsid w:val="21D010F1"/>
    <w:rsid w:val="220A0F80"/>
    <w:rsid w:val="22433200"/>
    <w:rsid w:val="224511CE"/>
    <w:rsid w:val="225B36B7"/>
    <w:rsid w:val="22B73C86"/>
    <w:rsid w:val="22C40369"/>
    <w:rsid w:val="22D03552"/>
    <w:rsid w:val="22F74F6A"/>
    <w:rsid w:val="232A50CC"/>
    <w:rsid w:val="2356278D"/>
    <w:rsid w:val="235A4E45"/>
    <w:rsid w:val="235C252E"/>
    <w:rsid w:val="23692FE5"/>
    <w:rsid w:val="237D6BE6"/>
    <w:rsid w:val="239869EF"/>
    <w:rsid w:val="23C61E5C"/>
    <w:rsid w:val="24455562"/>
    <w:rsid w:val="2461018F"/>
    <w:rsid w:val="24807347"/>
    <w:rsid w:val="248E21DF"/>
    <w:rsid w:val="24EC7BD5"/>
    <w:rsid w:val="24F30529"/>
    <w:rsid w:val="2519456D"/>
    <w:rsid w:val="25234FA9"/>
    <w:rsid w:val="25455510"/>
    <w:rsid w:val="25A86DDC"/>
    <w:rsid w:val="25C84575"/>
    <w:rsid w:val="25FD120B"/>
    <w:rsid w:val="261807D8"/>
    <w:rsid w:val="262A749D"/>
    <w:rsid w:val="26412A5E"/>
    <w:rsid w:val="26562B09"/>
    <w:rsid w:val="269B0660"/>
    <w:rsid w:val="26E36FBB"/>
    <w:rsid w:val="271B2084"/>
    <w:rsid w:val="279B2F2A"/>
    <w:rsid w:val="279D11A3"/>
    <w:rsid w:val="27F226F7"/>
    <w:rsid w:val="27F77A15"/>
    <w:rsid w:val="28007A4A"/>
    <w:rsid w:val="28062D94"/>
    <w:rsid w:val="2808303D"/>
    <w:rsid w:val="281E5DC1"/>
    <w:rsid w:val="282030A5"/>
    <w:rsid w:val="28AF5C31"/>
    <w:rsid w:val="28B625CA"/>
    <w:rsid w:val="28DA32F5"/>
    <w:rsid w:val="28E93173"/>
    <w:rsid w:val="290E6F2C"/>
    <w:rsid w:val="291F681F"/>
    <w:rsid w:val="29371041"/>
    <w:rsid w:val="296D23B3"/>
    <w:rsid w:val="297E072E"/>
    <w:rsid w:val="29895354"/>
    <w:rsid w:val="299017FF"/>
    <w:rsid w:val="2996276D"/>
    <w:rsid w:val="29E175CC"/>
    <w:rsid w:val="2A110088"/>
    <w:rsid w:val="2A390DE8"/>
    <w:rsid w:val="2A3932E3"/>
    <w:rsid w:val="2A4F36B3"/>
    <w:rsid w:val="2A650076"/>
    <w:rsid w:val="2A961FD2"/>
    <w:rsid w:val="2AA5151E"/>
    <w:rsid w:val="2AA706CF"/>
    <w:rsid w:val="2ABA645F"/>
    <w:rsid w:val="2ACB69CD"/>
    <w:rsid w:val="2AFF61CB"/>
    <w:rsid w:val="2B135AD6"/>
    <w:rsid w:val="2B2D75C8"/>
    <w:rsid w:val="2B3C0894"/>
    <w:rsid w:val="2B734DB0"/>
    <w:rsid w:val="2B8C4797"/>
    <w:rsid w:val="2BC05E20"/>
    <w:rsid w:val="2BCB270C"/>
    <w:rsid w:val="2BD06E67"/>
    <w:rsid w:val="2BD130C7"/>
    <w:rsid w:val="2C015389"/>
    <w:rsid w:val="2C1166B8"/>
    <w:rsid w:val="2C182A75"/>
    <w:rsid w:val="2C593683"/>
    <w:rsid w:val="2C625911"/>
    <w:rsid w:val="2C6A5155"/>
    <w:rsid w:val="2C8130F0"/>
    <w:rsid w:val="2CB760B0"/>
    <w:rsid w:val="2CCE024D"/>
    <w:rsid w:val="2CFF1563"/>
    <w:rsid w:val="2D0E0E33"/>
    <w:rsid w:val="2D2F3F29"/>
    <w:rsid w:val="2D3B31F4"/>
    <w:rsid w:val="2D473F34"/>
    <w:rsid w:val="2D5E57FC"/>
    <w:rsid w:val="2D6441AB"/>
    <w:rsid w:val="2D894942"/>
    <w:rsid w:val="2D8D1F79"/>
    <w:rsid w:val="2D9412B7"/>
    <w:rsid w:val="2D9C1765"/>
    <w:rsid w:val="2D9E3DDB"/>
    <w:rsid w:val="2DBB20DB"/>
    <w:rsid w:val="2DDB3B03"/>
    <w:rsid w:val="2DEA16A2"/>
    <w:rsid w:val="2DEF4965"/>
    <w:rsid w:val="2E4842B9"/>
    <w:rsid w:val="2E877971"/>
    <w:rsid w:val="2E8848AD"/>
    <w:rsid w:val="2E97482E"/>
    <w:rsid w:val="2EA67ED3"/>
    <w:rsid w:val="2EAC3D44"/>
    <w:rsid w:val="2EB81ECC"/>
    <w:rsid w:val="2EBC6E83"/>
    <w:rsid w:val="2ED6735B"/>
    <w:rsid w:val="2EDB15EF"/>
    <w:rsid w:val="2EDF506A"/>
    <w:rsid w:val="2EE37EC9"/>
    <w:rsid w:val="2EEB3529"/>
    <w:rsid w:val="2F0F1A17"/>
    <w:rsid w:val="2F4C4FAD"/>
    <w:rsid w:val="2F8641A2"/>
    <w:rsid w:val="2FA4634F"/>
    <w:rsid w:val="2FC37784"/>
    <w:rsid w:val="3010551F"/>
    <w:rsid w:val="30112E4E"/>
    <w:rsid w:val="301F5D7C"/>
    <w:rsid w:val="30257F10"/>
    <w:rsid w:val="302969A6"/>
    <w:rsid w:val="30434C04"/>
    <w:rsid w:val="30474CE2"/>
    <w:rsid w:val="30755CF5"/>
    <w:rsid w:val="308426B8"/>
    <w:rsid w:val="30842979"/>
    <w:rsid w:val="30FE00C5"/>
    <w:rsid w:val="311556CA"/>
    <w:rsid w:val="31416D97"/>
    <w:rsid w:val="31495059"/>
    <w:rsid w:val="31566C98"/>
    <w:rsid w:val="31693E91"/>
    <w:rsid w:val="31961571"/>
    <w:rsid w:val="31B8442F"/>
    <w:rsid w:val="31F64758"/>
    <w:rsid w:val="31F66C6A"/>
    <w:rsid w:val="320F680D"/>
    <w:rsid w:val="3211069A"/>
    <w:rsid w:val="32274317"/>
    <w:rsid w:val="32767D36"/>
    <w:rsid w:val="327E0986"/>
    <w:rsid w:val="32AB3FBC"/>
    <w:rsid w:val="32B318D0"/>
    <w:rsid w:val="32B47710"/>
    <w:rsid w:val="33612227"/>
    <w:rsid w:val="337407C3"/>
    <w:rsid w:val="33882C06"/>
    <w:rsid w:val="339F76E0"/>
    <w:rsid w:val="33B72CA7"/>
    <w:rsid w:val="33D75F5B"/>
    <w:rsid w:val="3402041F"/>
    <w:rsid w:val="340E0266"/>
    <w:rsid w:val="345259BF"/>
    <w:rsid w:val="345655CA"/>
    <w:rsid w:val="348826E6"/>
    <w:rsid w:val="349150B6"/>
    <w:rsid w:val="34BE5957"/>
    <w:rsid w:val="34C1448C"/>
    <w:rsid w:val="34CF2ADD"/>
    <w:rsid w:val="34D8396E"/>
    <w:rsid w:val="34EC030E"/>
    <w:rsid w:val="352024F4"/>
    <w:rsid w:val="352218AD"/>
    <w:rsid w:val="35247494"/>
    <w:rsid w:val="355036AC"/>
    <w:rsid w:val="35691B7F"/>
    <w:rsid w:val="35A436FC"/>
    <w:rsid w:val="35C23983"/>
    <w:rsid w:val="35C36E58"/>
    <w:rsid w:val="35CF7F76"/>
    <w:rsid w:val="35D64871"/>
    <w:rsid w:val="36546869"/>
    <w:rsid w:val="36BA4B21"/>
    <w:rsid w:val="36FE5BA6"/>
    <w:rsid w:val="370850D2"/>
    <w:rsid w:val="371711E1"/>
    <w:rsid w:val="371866BE"/>
    <w:rsid w:val="37271CB1"/>
    <w:rsid w:val="373B63CC"/>
    <w:rsid w:val="3769669B"/>
    <w:rsid w:val="378252AC"/>
    <w:rsid w:val="378D1C71"/>
    <w:rsid w:val="379210EB"/>
    <w:rsid w:val="37BE2A31"/>
    <w:rsid w:val="37DA1287"/>
    <w:rsid w:val="3878530E"/>
    <w:rsid w:val="388B4D0B"/>
    <w:rsid w:val="388C7454"/>
    <w:rsid w:val="388E5767"/>
    <w:rsid w:val="38A87A9B"/>
    <w:rsid w:val="38DF67D0"/>
    <w:rsid w:val="38F97EDE"/>
    <w:rsid w:val="392269C9"/>
    <w:rsid w:val="39330B4A"/>
    <w:rsid w:val="393B6969"/>
    <w:rsid w:val="395D0C71"/>
    <w:rsid w:val="396B092E"/>
    <w:rsid w:val="39980457"/>
    <w:rsid w:val="39D13F84"/>
    <w:rsid w:val="39DA76A9"/>
    <w:rsid w:val="39F000FC"/>
    <w:rsid w:val="3AE66395"/>
    <w:rsid w:val="3B0B679B"/>
    <w:rsid w:val="3B150A58"/>
    <w:rsid w:val="3B19650A"/>
    <w:rsid w:val="3B203EA1"/>
    <w:rsid w:val="3B6537BD"/>
    <w:rsid w:val="3B6B4206"/>
    <w:rsid w:val="3B7A7268"/>
    <w:rsid w:val="3B861805"/>
    <w:rsid w:val="3BB073BF"/>
    <w:rsid w:val="3BCE10A9"/>
    <w:rsid w:val="3BCE3C70"/>
    <w:rsid w:val="3BE077FD"/>
    <w:rsid w:val="3BEE620F"/>
    <w:rsid w:val="3BF447F0"/>
    <w:rsid w:val="3BF53366"/>
    <w:rsid w:val="3C0E28B1"/>
    <w:rsid w:val="3C317DF9"/>
    <w:rsid w:val="3C337C3C"/>
    <w:rsid w:val="3C763CDB"/>
    <w:rsid w:val="3C800E03"/>
    <w:rsid w:val="3C9E0D5B"/>
    <w:rsid w:val="3CA01B46"/>
    <w:rsid w:val="3CC57DF2"/>
    <w:rsid w:val="3CE05178"/>
    <w:rsid w:val="3D1B52D7"/>
    <w:rsid w:val="3D4B7E47"/>
    <w:rsid w:val="3D640F91"/>
    <w:rsid w:val="3D8D0496"/>
    <w:rsid w:val="3D9B575C"/>
    <w:rsid w:val="3D9F7947"/>
    <w:rsid w:val="3DA049FC"/>
    <w:rsid w:val="3DA25A69"/>
    <w:rsid w:val="3DC95A99"/>
    <w:rsid w:val="3DDA2A24"/>
    <w:rsid w:val="3DDB207C"/>
    <w:rsid w:val="3DED4C43"/>
    <w:rsid w:val="3E520448"/>
    <w:rsid w:val="3E5A629A"/>
    <w:rsid w:val="3EB9321C"/>
    <w:rsid w:val="3EEB2E90"/>
    <w:rsid w:val="3F174687"/>
    <w:rsid w:val="3F201FA7"/>
    <w:rsid w:val="3F396E86"/>
    <w:rsid w:val="3F3B797C"/>
    <w:rsid w:val="3F4655FF"/>
    <w:rsid w:val="3F820D80"/>
    <w:rsid w:val="3F89739A"/>
    <w:rsid w:val="3F9E2853"/>
    <w:rsid w:val="3FAE61BB"/>
    <w:rsid w:val="3FF66CE5"/>
    <w:rsid w:val="40626751"/>
    <w:rsid w:val="406A415A"/>
    <w:rsid w:val="406D2233"/>
    <w:rsid w:val="407E2FEE"/>
    <w:rsid w:val="40B81176"/>
    <w:rsid w:val="40EA3BB5"/>
    <w:rsid w:val="41124BD9"/>
    <w:rsid w:val="412A01E3"/>
    <w:rsid w:val="41465B3D"/>
    <w:rsid w:val="41497E67"/>
    <w:rsid w:val="41783B56"/>
    <w:rsid w:val="417A0A0F"/>
    <w:rsid w:val="4185129C"/>
    <w:rsid w:val="41A31AB7"/>
    <w:rsid w:val="41CC187B"/>
    <w:rsid w:val="422C7D64"/>
    <w:rsid w:val="423941E1"/>
    <w:rsid w:val="42475E07"/>
    <w:rsid w:val="42610A4A"/>
    <w:rsid w:val="426F3951"/>
    <w:rsid w:val="42BF1CF0"/>
    <w:rsid w:val="42D866CD"/>
    <w:rsid w:val="42EC0A43"/>
    <w:rsid w:val="43282C44"/>
    <w:rsid w:val="43284856"/>
    <w:rsid w:val="434A04C9"/>
    <w:rsid w:val="435600A5"/>
    <w:rsid w:val="43713C78"/>
    <w:rsid w:val="43803E5D"/>
    <w:rsid w:val="438676A4"/>
    <w:rsid w:val="43A56149"/>
    <w:rsid w:val="43FE74EF"/>
    <w:rsid w:val="448C49D5"/>
    <w:rsid w:val="44991254"/>
    <w:rsid w:val="44A2179C"/>
    <w:rsid w:val="44CA60FD"/>
    <w:rsid w:val="44D04C44"/>
    <w:rsid w:val="44D7790A"/>
    <w:rsid w:val="44ED3CA5"/>
    <w:rsid w:val="44F941DF"/>
    <w:rsid w:val="45036A10"/>
    <w:rsid w:val="45682D8B"/>
    <w:rsid w:val="45A375E2"/>
    <w:rsid w:val="45AD3A24"/>
    <w:rsid w:val="45EA6DB3"/>
    <w:rsid w:val="461B014B"/>
    <w:rsid w:val="46245718"/>
    <w:rsid w:val="4679585D"/>
    <w:rsid w:val="468673C7"/>
    <w:rsid w:val="46B04469"/>
    <w:rsid w:val="46FA18D0"/>
    <w:rsid w:val="46FB0243"/>
    <w:rsid w:val="47133950"/>
    <w:rsid w:val="47194891"/>
    <w:rsid w:val="47672785"/>
    <w:rsid w:val="47846958"/>
    <w:rsid w:val="47C63F92"/>
    <w:rsid w:val="47CD3203"/>
    <w:rsid w:val="47D02EDF"/>
    <w:rsid w:val="47DB5DD9"/>
    <w:rsid w:val="47F70801"/>
    <w:rsid w:val="48021ADF"/>
    <w:rsid w:val="48086D5A"/>
    <w:rsid w:val="483E5DF2"/>
    <w:rsid w:val="485077B6"/>
    <w:rsid w:val="4880135B"/>
    <w:rsid w:val="489A55C2"/>
    <w:rsid w:val="48BB261F"/>
    <w:rsid w:val="48EF15DD"/>
    <w:rsid w:val="48F35FD9"/>
    <w:rsid w:val="49017F9A"/>
    <w:rsid w:val="49932948"/>
    <w:rsid w:val="49A223AE"/>
    <w:rsid w:val="49A849AE"/>
    <w:rsid w:val="49B6566C"/>
    <w:rsid w:val="49D13F00"/>
    <w:rsid w:val="49E53069"/>
    <w:rsid w:val="4A012A58"/>
    <w:rsid w:val="4A021C27"/>
    <w:rsid w:val="4A0D1C91"/>
    <w:rsid w:val="4A0E5F36"/>
    <w:rsid w:val="4A1D775B"/>
    <w:rsid w:val="4A286A82"/>
    <w:rsid w:val="4A983708"/>
    <w:rsid w:val="4B01161C"/>
    <w:rsid w:val="4B2020B7"/>
    <w:rsid w:val="4B762FCD"/>
    <w:rsid w:val="4B8D28BD"/>
    <w:rsid w:val="4BA636EF"/>
    <w:rsid w:val="4BB127EA"/>
    <w:rsid w:val="4BB27832"/>
    <w:rsid w:val="4BB35EF2"/>
    <w:rsid w:val="4BC61C0E"/>
    <w:rsid w:val="4BCC0C5F"/>
    <w:rsid w:val="4BE826E2"/>
    <w:rsid w:val="4BF32B5B"/>
    <w:rsid w:val="4BF62E32"/>
    <w:rsid w:val="4C014A79"/>
    <w:rsid w:val="4C014D31"/>
    <w:rsid w:val="4C0B656A"/>
    <w:rsid w:val="4C650487"/>
    <w:rsid w:val="4CAB2FD5"/>
    <w:rsid w:val="4CAC4D54"/>
    <w:rsid w:val="4CD031BA"/>
    <w:rsid w:val="4D212C4E"/>
    <w:rsid w:val="4D35557A"/>
    <w:rsid w:val="4D5C1DAC"/>
    <w:rsid w:val="4D6A1068"/>
    <w:rsid w:val="4D7E75C4"/>
    <w:rsid w:val="4D8546DE"/>
    <w:rsid w:val="4D9C7EEB"/>
    <w:rsid w:val="4DB97064"/>
    <w:rsid w:val="4DDA6E53"/>
    <w:rsid w:val="4DDE41F6"/>
    <w:rsid w:val="4E0A0885"/>
    <w:rsid w:val="4E0C45DF"/>
    <w:rsid w:val="4E3806E0"/>
    <w:rsid w:val="4E457C7B"/>
    <w:rsid w:val="4E576098"/>
    <w:rsid w:val="4E752F88"/>
    <w:rsid w:val="4E8644CF"/>
    <w:rsid w:val="4F0D3CFE"/>
    <w:rsid w:val="4F130A73"/>
    <w:rsid w:val="4F1E75EA"/>
    <w:rsid w:val="4F4B3280"/>
    <w:rsid w:val="4F686EA3"/>
    <w:rsid w:val="4FED0484"/>
    <w:rsid w:val="50BF1D57"/>
    <w:rsid w:val="50DD178A"/>
    <w:rsid w:val="51586D53"/>
    <w:rsid w:val="515A5EC2"/>
    <w:rsid w:val="517007D9"/>
    <w:rsid w:val="519B54A6"/>
    <w:rsid w:val="51A22B03"/>
    <w:rsid w:val="51AF6880"/>
    <w:rsid w:val="51CF6E5C"/>
    <w:rsid w:val="51EE5ED5"/>
    <w:rsid w:val="51F0712E"/>
    <w:rsid w:val="51F57989"/>
    <w:rsid w:val="5209410F"/>
    <w:rsid w:val="52525999"/>
    <w:rsid w:val="527A3F7A"/>
    <w:rsid w:val="528E5E18"/>
    <w:rsid w:val="52E25A4E"/>
    <w:rsid w:val="52F81D23"/>
    <w:rsid w:val="530853E8"/>
    <w:rsid w:val="534F28D8"/>
    <w:rsid w:val="535F7120"/>
    <w:rsid w:val="53835241"/>
    <w:rsid w:val="53B179E4"/>
    <w:rsid w:val="53DB024F"/>
    <w:rsid w:val="53DB34AA"/>
    <w:rsid w:val="54513199"/>
    <w:rsid w:val="54590FE7"/>
    <w:rsid w:val="545D052B"/>
    <w:rsid w:val="54DE2BBA"/>
    <w:rsid w:val="5512250B"/>
    <w:rsid w:val="553628EC"/>
    <w:rsid w:val="554D3611"/>
    <w:rsid w:val="555F1441"/>
    <w:rsid w:val="556B5872"/>
    <w:rsid w:val="557C4C30"/>
    <w:rsid w:val="55B612BE"/>
    <w:rsid w:val="55BA1155"/>
    <w:rsid w:val="5629599A"/>
    <w:rsid w:val="569E5433"/>
    <w:rsid w:val="56DF7AA7"/>
    <w:rsid w:val="571023B2"/>
    <w:rsid w:val="57262E34"/>
    <w:rsid w:val="574A28B2"/>
    <w:rsid w:val="575219A8"/>
    <w:rsid w:val="576065A2"/>
    <w:rsid w:val="57A664C5"/>
    <w:rsid w:val="57BE49A7"/>
    <w:rsid w:val="57D5572E"/>
    <w:rsid w:val="57DA1AAC"/>
    <w:rsid w:val="57FB65DF"/>
    <w:rsid w:val="5817611B"/>
    <w:rsid w:val="584254E6"/>
    <w:rsid w:val="58534EC5"/>
    <w:rsid w:val="586F4890"/>
    <w:rsid w:val="589D313F"/>
    <w:rsid w:val="58DC02F0"/>
    <w:rsid w:val="58DC06F5"/>
    <w:rsid w:val="58DE1C75"/>
    <w:rsid w:val="58E31B88"/>
    <w:rsid w:val="58E3657B"/>
    <w:rsid w:val="59290070"/>
    <w:rsid w:val="595B447A"/>
    <w:rsid w:val="59633BC3"/>
    <w:rsid w:val="59A67BD6"/>
    <w:rsid w:val="5A0641D2"/>
    <w:rsid w:val="5A9E3A1D"/>
    <w:rsid w:val="5AA70B4B"/>
    <w:rsid w:val="5AC666A9"/>
    <w:rsid w:val="5AD842B3"/>
    <w:rsid w:val="5AE87ABD"/>
    <w:rsid w:val="5AF9378E"/>
    <w:rsid w:val="5B0D7AE8"/>
    <w:rsid w:val="5B164D10"/>
    <w:rsid w:val="5B2960F1"/>
    <w:rsid w:val="5B4E4D8B"/>
    <w:rsid w:val="5BA00B43"/>
    <w:rsid w:val="5BDB7333"/>
    <w:rsid w:val="5BE02064"/>
    <w:rsid w:val="5C0823D3"/>
    <w:rsid w:val="5C2035C2"/>
    <w:rsid w:val="5C390569"/>
    <w:rsid w:val="5C5F4FC1"/>
    <w:rsid w:val="5C897660"/>
    <w:rsid w:val="5C972665"/>
    <w:rsid w:val="5C996301"/>
    <w:rsid w:val="5CBB1855"/>
    <w:rsid w:val="5CCA52D2"/>
    <w:rsid w:val="5CF74D86"/>
    <w:rsid w:val="5CFD65D4"/>
    <w:rsid w:val="5D284EC1"/>
    <w:rsid w:val="5D44521B"/>
    <w:rsid w:val="5D8B6FDE"/>
    <w:rsid w:val="5D9859DD"/>
    <w:rsid w:val="5DBA39B9"/>
    <w:rsid w:val="5DDC3338"/>
    <w:rsid w:val="5E30144B"/>
    <w:rsid w:val="5E68248D"/>
    <w:rsid w:val="5E815AD5"/>
    <w:rsid w:val="5EC5359E"/>
    <w:rsid w:val="5F3731D3"/>
    <w:rsid w:val="5F41122C"/>
    <w:rsid w:val="5F5504EF"/>
    <w:rsid w:val="5F6A7B6B"/>
    <w:rsid w:val="5F713629"/>
    <w:rsid w:val="5F942088"/>
    <w:rsid w:val="5F981BC5"/>
    <w:rsid w:val="5FAE424B"/>
    <w:rsid w:val="5FD208D9"/>
    <w:rsid w:val="5FD22784"/>
    <w:rsid w:val="5FF304C3"/>
    <w:rsid w:val="5FF36378"/>
    <w:rsid w:val="5FFC06A9"/>
    <w:rsid w:val="60071DAF"/>
    <w:rsid w:val="601A04BF"/>
    <w:rsid w:val="60215DE5"/>
    <w:rsid w:val="60395837"/>
    <w:rsid w:val="607B73E2"/>
    <w:rsid w:val="607F4EF9"/>
    <w:rsid w:val="60947553"/>
    <w:rsid w:val="60BB51B4"/>
    <w:rsid w:val="60D632BA"/>
    <w:rsid w:val="61141A85"/>
    <w:rsid w:val="612410D9"/>
    <w:rsid w:val="6147584D"/>
    <w:rsid w:val="61AA5172"/>
    <w:rsid w:val="61C371B5"/>
    <w:rsid w:val="61CA63B1"/>
    <w:rsid w:val="62005C21"/>
    <w:rsid w:val="62275B23"/>
    <w:rsid w:val="62DF29CD"/>
    <w:rsid w:val="62F2253D"/>
    <w:rsid w:val="6314242C"/>
    <w:rsid w:val="631A6343"/>
    <w:rsid w:val="631F4516"/>
    <w:rsid w:val="63391B67"/>
    <w:rsid w:val="634549B2"/>
    <w:rsid w:val="636F211E"/>
    <w:rsid w:val="637E0051"/>
    <w:rsid w:val="639A641D"/>
    <w:rsid w:val="63B30BCE"/>
    <w:rsid w:val="63C85161"/>
    <w:rsid w:val="63DB14FD"/>
    <w:rsid w:val="63DC4F19"/>
    <w:rsid w:val="64410554"/>
    <w:rsid w:val="645941E1"/>
    <w:rsid w:val="64A66D5E"/>
    <w:rsid w:val="64A83796"/>
    <w:rsid w:val="64B17943"/>
    <w:rsid w:val="64C42462"/>
    <w:rsid w:val="64C662BF"/>
    <w:rsid w:val="64DD5138"/>
    <w:rsid w:val="64EF6858"/>
    <w:rsid w:val="64FD5703"/>
    <w:rsid w:val="65640DC7"/>
    <w:rsid w:val="65786AC9"/>
    <w:rsid w:val="65E8143E"/>
    <w:rsid w:val="65EB236E"/>
    <w:rsid w:val="66020E56"/>
    <w:rsid w:val="663C0A18"/>
    <w:rsid w:val="664F4B84"/>
    <w:rsid w:val="66522CA8"/>
    <w:rsid w:val="66881537"/>
    <w:rsid w:val="66BF2686"/>
    <w:rsid w:val="66C610AC"/>
    <w:rsid w:val="66CB6FBF"/>
    <w:rsid w:val="66D458DC"/>
    <w:rsid w:val="66F9093B"/>
    <w:rsid w:val="676C4071"/>
    <w:rsid w:val="679509FD"/>
    <w:rsid w:val="67A5610A"/>
    <w:rsid w:val="67B02852"/>
    <w:rsid w:val="67B72A7A"/>
    <w:rsid w:val="67D53A3E"/>
    <w:rsid w:val="67D6156A"/>
    <w:rsid w:val="67DD01B0"/>
    <w:rsid w:val="67EE7BFE"/>
    <w:rsid w:val="681542B6"/>
    <w:rsid w:val="68171F53"/>
    <w:rsid w:val="687B285C"/>
    <w:rsid w:val="689102AC"/>
    <w:rsid w:val="68922980"/>
    <w:rsid w:val="68C76857"/>
    <w:rsid w:val="68CC5582"/>
    <w:rsid w:val="690E644F"/>
    <w:rsid w:val="691708B2"/>
    <w:rsid w:val="6958468C"/>
    <w:rsid w:val="69674EC4"/>
    <w:rsid w:val="697274F4"/>
    <w:rsid w:val="6A3721DE"/>
    <w:rsid w:val="6A443E0B"/>
    <w:rsid w:val="6A7E48FF"/>
    <w:rsid w:val="6AB50F83"/>
    <w:rsid w:val="6AB823C9"/>
    <w:rsid w:val="6ADE6F27"/>
    <w:rsid w:val="6AFC1C5D"/>
    <w:rsid w:val="6B0D4B85"/>
    <w:rsid w:val="6B425F36"/>
    <w:rsid w:val="6B8130AA"/>
    <w:rsid w:val="6BBB53F9"/>
    <w:rsid w:val="6C8F07EA"/>
    <w:rsid w:val="6CCD7587"/>
    <w:rsid w:val="6CD27AC3"/>
    <w:rsid w:val="6CE34F1E"/>
    <w:rsid w:val="6D3A7E3D"/>
    <w:rsid w:val="6D3F7DE6"/>
    <w:rsid w:val="6D5F2D2B"/>
    <w:rsid w:val="6D642A27"/>
    <w:rsid w:val="6DA01DB4"/>
    <w:rsid w:val="6DA50CC8"/>
    <w:rsid w:val="6DBE2C2E"/>
    <w:rsid w:val="6DC8379E"/>
    <w:rsid w:val="6DD47FA0"/>
    <w:rsid w:val="6DFA2ABD"/>
    <w:rsid w:val="6E1342BD"/>
    <w:rsid w:val="6E2B7CA9"/>
    <w:rsid w:val="6E5E3D5C"/>
    <w:rsid w:val="6E6559E5"/>
    <w:rsid w:val="6EA9648D"/>
    <w:rsid w:val="6EB761CD"/>
    <w:rsid w:val="6EC52928"/>
    <w:rsid w:val="6EDC3FD2"/>
    <w:rsid w:val="6EF9317F"/>
    <w:rsid w:val="6F041ED9"/>
    <w:rsid w:val="6F152DFC"/>
    <w:rsid w:val="6F2878A1"/>
    <w:rsid w:val="6F451933"/>
    <w:rsid w:val="6F61398F"/>
    <w:rsid w:val="6F983E9C"/>
    <w:rsid w:val="6FD527C7"/>
    <w:rsid w:val="6FE40EF6"/>
    <w:rsid w:val="6FE66B9C"/>
    <w:rsid w:val="6FFB10C9"/>
    <w:rsid w:val="6FFB2E2F"/>
    <w:rsid w:val="700840D3"/>
    <w:rsid w:val="703A2FBE"/>
    <w:rsid w:val="704C762A"/>
    <w:rsid w:val="704F5485"/>
    <w:rsid w:val="70530FE9"/>
    <w:rsid w:val="70A23AF0"/>
    <w:rsid w:val="70B107FB"/>
    <w:rsid w:val="70CE0D22"/>
    <w:rsid w:val="70D306DD"/>
    <w:rsid w:val="70D52DFB"/>
    <w:rsid w:val="70F1111F"/>
    <w:rsid w:val="70FA0CF7"/>
    <w:rsid w:val="70FB2481"/>
    <w:rsid w:val="71291D7D"/>
    <w:rsid w:val="71317752"/>
    <w:rsid w:val="715459FB"/>
    <w:rsid w:val="71605529"/>
    <w:rsid w:val="71701E8A"/>
    <w:rsid w:val="7182426A"/>
    <w:rsid w:val="719D0E87"/>
    <w:rsid w:val="71A00AF3"/>
    <w:rsid w:val="71A8653C"/>
    <w:rsid w:val="71DF4184"/>
    <w:rsid w:val="71FB3A14"/>
    <w:rsid w:val="71FE6FB2"/>
    <w:rsid w:val="721B316F"/>
    <w:rsid w:val="724E0CA0"/>
    <w:rsid w:val="725302F1"/>
    <w:rsid w:val="725B7801"/>
    <w:rsid w:val="7267363C"/>
    <w:rsid w:val="7270309D"/>
    <w:rsid w:val="727903FB"/>
    <w:rsid w:val="72F67824"/>
    <w:rsid w:val="732E2D25"/>
    <w:rsid w:val="73790339"/>
    <w:rsid w:val="7379430D"/>
    <w:rsid w:val="73A75966"/>
    <w:rsid w:val="73C6245C"/>
    <w:rsid w:val="73E96378"/>
    <w:rsid w:val="74284693"/>
    <w:rsid w:val="744234E1"/>
    <w:rsid w:val="744500BC"/>
    <w:rsid w:val="74A57594"/>
    <w:rsid w:val="74C354D2"/>
    <w:rsid w:val="74CC0536"/>
    <w:rsid w:val="74F166BD"/>
    <w:rsid w:val="74F71A2F"/>
    <w:rsid w:val="750A50FC"/>
    <w:rsid w:val="750F216D"/>
    <w:rsid w:val="753C0FAF"/>
    <w:rsid w:val="753D68EC"/>
    <w:rsid w:val="75453F67"/>
    <w:rsid w:val="75564607"/>
    <w:rsid w:val="7565640B"/>
    <w:rsid w:val="757E3686"/>
    <w:rsid w:val="759F7A95"/>
    <w:rsid w:val="75C931D2"/>
    <w:rsid w:val="75E042B6"/>
    <w:rsid w:val="760C39A0"/>
    <w:rsid w:val="76131C9C"/>
    <w:rsid w:val="761B1241"/>
    <w:rsid w:val="761F7CAC"/>
    <w:rsid w:val="764F70FE"/>
    <w:rsid w:val="765D0745"/>
    <w:rsid w:val="768300A9"/>
    <w:rsid w:val="769652EC"/>
    <w:rsid w:val="76A91298"/>
    <w:rsid w:val="76BD645F"/>
    <w:rsid w:val="76C01A54"/>
    <w:rsid w:val="76E30319"/>
    <w:rsid w:val="76EB33D0"/>
    <w:rsid w:val="76FD269B"/>
    <w:rsid w:val="76FF295E"/>
    <w:rsid w:val="77121551"/>
    <w:rsid w:val="771D1130"/>
    <w:rsid w:val="7723349D"/>
    <w:rsid w:val="77592268"/>
    <w:rsid w:val="77844263"/>
    <w:rsid w:val="778A173A"/>
    <w:rsid w:val="77993619"/>
    <w:rsid w:val="77A67998"/>
    <w:rsid w:val="78134502"/>
    <w:rsid w:val="78337EF4"/>
    <w:rsid w:val="7855372B"/>
    <w:rsid w:val="786D1F0F"/>
    <w:rsid w:val="78A11471"/>
    <w:rsid w:val="78C817B9"/>
    <w:rsid w:val="78FE7930"/>
    <w:rsid w:val="79367C8F"/>
    <w:rsid w:val="794363AB"/>
    <w:rsid w:val="79534536"/>
    <w:rsid w:val="795A1352"/>
    <w:rsid w:val="79827D27"/>
    <w:rsid w:val="79924177"/>
    <w:rsid w:val="79CC0470"/>
    <w:rsid w:val="79D41F5C"/>
    <w:rsid w:val="79DC7323"/>
    <w:rsid w:val="79EB48D6"/>
    <w:rsid w:val="7A1A7AC1"/>
    <w:rsid w:val="7A294C23"/>
    <w:rsid w:val="7A502B08"/>
    <w:rsid w:val="7A5E160A"/>
    <w:rsid w:val="7A770F41"/>
    <w:rsid w:val="7A8A1885"/>
    <w:rsid w:val="7A9348D7"/>
    <w:rsid w:val="7AC87733"/>
    <w:rsid w:val="7AC93F71"/>
    <w:rsid w:val="7AD90E81"/>
    <w:rsid w:val="7ADA5490"/>
    <w:rsid w:val="7B25086A"/>
    <w:rsid w:val="7B833601"/>
    <w:rsid w:val="7B91065B"/>
    <w:rsid w:val="7BD66690"/>
    <w:rsid w:val="7BE61A79"/>
    <w:rsid w:val="7C4C7F5B"/>
    <w:rsid w:val="7CA72550"/>
    <w:rsid w:val="7CAB55CC"/>
    <w:rsid w:val="7CB43E7E"/>
    <w:rsid w:val="7CBE0B67"/>
    <w:rsid w:val="7CE224A5"/>
    <w:rsid w:val="7D2310A3"/>
    <w:rsid w:val="7D510AE0"/>
    <w:rsid w:val="7D6E015F"/>
    <w:rsid w:val="7D842EC5"/>
    <w:rsid w:val="7DAA4A9C"/>
    <w:rsid w:val="7DAB47EB"/>
    <w:rsid w:val="7DCE13A3"/>
    <w:rsid w:val="7DDC01E3"/>
    <w:rsid w:val="7E817132"/>
    <w:rsid w:val="7E8C517C"/>
    <w:rsid w:val="7E9F6C72"/>
    <w:rsid w:val="7EFD3289"/>
    <w:rsid w:val="7F2C6D4F"/>
    <w:rsid w:val="7F553467"/>
    <w:rsid w:val="7F6728D5"/>
    <w:rsid w:val="7F6B4EA3"/>
    <w:rsid w:val="7FBD2A03"/>
    <w:rsid w:val="7FDA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6" w:lineRule="exact"/>
      <w:ind w:firstLine="420" w:firstLineChars="200"/>
      <w:jc w:val="left"/>
    </w:pPr>
    <w:rPr>
      <w:rFonts w:ascii="Times New Roman" w:hAnsi="Times New Roman" w:eastAsia="仿宋_GB2312" w:cstheme="minorBidi"/>
      <w:kern w:val="2"/>
      <w:sz w:val="32"/>
      <w:szCs w:val="32"/>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99"/>
    <w:pPr>
      <w:spacing w:before="240" w:after="60"/>
      <w:jc w:val="center"/>
      <w:outlineLvl w:val="0"/>
    </w:pPr>
    <w:rPr>
      <w:rFonts w:ascii="等线 Light" w:hAnsi="等线 Light"/>
      <w:b/>
      <w:bCs/>
      <w:sz w:val="32"/>
      <w:szCs w:val="32"/>
    </w:rPr>
  </w:style>
  <w:style w:type="paragraph" w:styleId="5">
    <w:name w:val="footer"/>
    <w:basedOn w:val="1"/>
    <w:next w:val="1"/>
    <w:qFormat/>
    <w:uiPriority w:val="99"/>
    <w:pPr>
      <w:tabs>
        <w:tab w:val="center" w:pos="4153"/>
        <w:tab w:val="right" w:pos="8306"/>
      </w:tabs>
      <w:snapToGrid w:val="0"/>
      <w:spacing w:line="240" w:lineRule="atLeast"/>
      <w:jc w:val="left"/>
    </w:pPr>
    <w:rPr>
      <w:sz w:val="18"/>
      <w:szCs w:val="18"/>
    </w:rPr>
  </w:style>
  <w:style w:type="paragraph" w:styleId="8">
    <w:name w:val="Normal Indent"/>
    <w:basedOn w:val="1"/>
    <w:next w:val="1"/>
    <w:qFormat/>
    <w:uiPriority w:val="0"/>
    <w:pPr>
      <w:ind w:firstLine="420" w:firstLineChars="200"/>
    </w:pPr>
  </w:style>
  <w:style w:type="paragraph" w:styleId="9">
    <w:name w:val="index 6"/>
    <w:basedOn w:val="1"/>
    <w:next w:val="1"/>
    <w:qFormat/>
    <w:uiPriority w:val="0"/>
    <w:pPr>
      <w:widowControl w:val="0"/>
      <w:suppressAutoHyphens w:val="0"/>
      <w:spacing w:line="500" w:lineRule="exact"/>
      <w:ind w:left="1000" w:leftChars="1000" w:firstLine="800" w:firstLineChars="200"/>
      <w:jc w:val="both"/>
    </w:pPr>
    <w:rPr>
      <w:rFonts w:ascii="Times New Roman" w:hAnsi="Times New Roman" w:eastAsia="仿宋_GB2312" w:cs="Times New Roman"/>
      <w:kern w:val="2"/>
      <w:sz w:val="32"/>
      <w:szCs w:val="24"/>
      <w:lang w:val="en-US" w:eastAsia="zh-CN" w:bidi="ar-SA"/>
    </w:rPr>
  </w:style>
  <w:style w:type="paragraph" w:styleId="10">
    <w:name w:val="Body Text Indent"/>
    <w:basedOn w:val="1"/>
    <w:next w:val="1"/>
    <w:qFormat/>
    <w:uiPriority w:val="0"/>
    <w:pPr>
      <w:spacing w:line="320" w:lineRule="atLeast"/>
      <w:ind w:firstLine="480"/>
    </w:pPr>
    <w:rPr>
      <w:rFonts w:cs="Calibri"/>
    </w:rPr>
  </w:style>
  <w:style w:type="paragraph" w:styleId="11">
    <w:name w:val="toc 5"/>
    <w:basedOn w:val="1"/>
    <w:next w:val="1"/>
    <w:qFormat/>
    <w:uiPriority w:val="0"/>
    <w:pPr>
      <w:ind w:left="1680"/>
    </w:pPr>
  </w:style>
  <w:style w:type="paragraph" w:styleId="12">
    <w:name w:val="Plai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0"/>
    <w:next w:val="1"/>
    <w:qFormat/>
    <w:uiPriority w:val="0"/>
    <w:pPr>
      <w:ind w:firstLine="420" w:firstLineChars="2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paragraph" w:customStyle="1" w:styleId="22">
    <w:name w:val="Default"/>
    <w:basedOn w:val="23"/>
    <w:next w:val="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Normal]"/>
    <w:qFormat/>
    <w:uiPriority w:val="0"/>
    <w:rPr>
      <w:rFonts w:ascii="宋体" w:hAnsi="宋体" w:eastAsia="宋体" w:cs="Times New Roman"/>
      <w:sz w:val="24"/>
      <w:szCs w:val="22"/>
      <w:lang w:val="en-US" w:eastAsia="en-US" w:bidi="ar-SA"/>
    </w:rPr>
  </w:style>
  <w:style w:type="character" w:customStyle="1" w:styleId="24">
    <w:name w:val="NormalCharacter"/>
    <w:link w:val="25"/>
    <w:qFormat/>
    <w:uiPriority w:val="0"/>
    <w:rPr>
      <w:rFonts w:ascii="Times New Roman" w:hAnsi="Times New Roman" w:eastAsia="仿宋_GB2312" w:cstheme="minorBidi"/>
      <w:kern w:val="2"/>
      <w:sz w:val="32"/>
      <w:szCs w:val="32"/>
      <w:lang w:val="en-US" w:eastAsia="zh-CN" w:bidi="ar-SA"/>
    </w:rPr>
  </w:style>
  <w:style w:type="paragraph" w:customStyle="1" w:styleId="25">
    <w:name w:val="UserStyle_0"/>
    <w:basedOn w:val="26"/>
    <w:link w:val="24"/>
    <w:qFormat/>
    <w:uiPriority w:val="0"/>
    <w:pPr>
      <w:widowControl/>
    </w:pPr>
    <w:rPr>
      <w:szCs w:val="21"/>
    </w:rPr>
  </w:style>
  <w:style w:type="paragraph" w:customStyle="1" w:styleId="26">
    <w:name w:val="NavPane"/>
    <w:basedOn w:val="1"/>
    <w:qFormat/>
    <w:uiPriority w:val="0"/>
    <w:pPr>
      <w:shd w:val="clear" w:color="auto" w:fill="000080"/>
      <w:textAlignment w:val="baseline"/>
    </w:pPr>
    <w:rPr>
      <w:rFonts w:ascii="Times New Roman" w:hAnsi="Times New Roman" w:eastAsia="宋体" w:cs="Times New Roman"/>
    </w:rPr>
  </w:style>
  <w:style w:type="paragraph" w:customStyle="1" w:styleId="27">
    <w:name w:val="Heading2"/>
    <w:basedOn w:val="1"/>
    <w:next w:val="1"/>
    <w:qFormat/>
    <w:uiPriority w:val="99"/>
    <w:pPr>
      <w:keepNext/>
      <w:keepLines/>
      <w:spacing w:before="260" w:after="260" w:line="413" w:lineRule="auto"/>
      <w:textAlignment w:val="baseline"/>
    </w:pPr>
    <w:rPr>
      <w:rFonts w:ascii="Arial" w:hAnsi="Arial" w:eastAsia="黑体"/>
      <w:b/>
      <w:sz w:val="32"/>
      <w:szCs w:val="20"/>
    </w:rPr>
  </w:style>
  <w:style w:type="paragraph" w:customStyle="1" w:styleId="28">
    <w:name w:val="样式 正文缩进正文（首行缩进两字）首行缩进两字 + 首行缩进:  2 字符1"/>
    <w:basedOn w:val="8"/>
    <w:qFormat/>
    <w:uiPriority w:val="0"/>
    <w:pPr>
      <w:spacing w:before="156" w:beforeLines="50" w:beforeAutospacing="0" w:after="156" w:afterLines="50" w:afterAutospacing="0" w:line="500" w:lineRule="exact"/>
      <w:ind w:firstLine="200" w:firstLineChars="0"/>
    </w:pPr>
    <w:rPr>
      <w:color w:val="000000"/>
      <w:sz w:val="28"/>
    </w:rPr>
  </w:style>
  <w:style w:type="character" w:customStyle="1" w:styleId="29">
    <w:name w:val="UserStyle_5"/>
    <w:link w:val="30"/>
    <w:qFormat/>
    <w:locked/>
    <w:uiPriority w:val="0"/>
    <w:rPr>
      <w:rFonts w:eastAsia="仿宋_GB2312"/>
      <w:kern w:val="0"/>
      <w:sz w:val="32"/>
    </w:rPr>
  </w:style>
  <w:style w:type="paragraph" w:customStyle="1" w:styleId="30">
    <w:name w:val="UserStyle_6"/>
    <w:basedOn w:val="1"/>
    <w:link w:val="29"/>
    <w:qFormat/>
    <w:uiPriority w:val="0"/>
    <w:rPr>
      <w:rFonts w:eastAsia="仿宋_GB2312"/>
      <w:kern w:val="0"/>
      <w:sz w:val="32"/>
    </w:rPr>
  </w:style>
  <w:style w:type="character" w:customStyle="1" w:styleId="31">
    <w:name w:val="UserStyle_4"/>
    <w:qFormat/>
    <w:uiPriority w:val="0"/>
    <w:rPr>
      <w:kern w:val="2"/>
      <w:sz w:val="21"/>
      <w:szCs w:val="24"/>
      <w:lang w:val="en-US" w:eastAsia="zh-CN" w:bidi="ar-SA"/>
    </w:rPr>
  </w:style>
  <w:style w:type="paragraph" w:customStyle="1" w:styleId="32">
    <w:name w:val="BodyText1I"/>
    <w:basedOn w:val="33"/>
    <w:qFormat/>
    <w:uiPriority w:val="99"/>
    <w:pPr>
      <w:spacing w:after="120" w:line="560" w:lineRule="exact"/>
      <w:ind w:firstLine="420" w:firstLineChars="100"/>
      <w:textAlignment w:val="baseline"/>
    </w:pPr>
    <w:rPr>
      <w:rFonts w:ascii="Calibri" w:hAnsi="Calibri" w:eastAsia="仿宋_GB2312" w:cs="Calibri"/>
      <w:sz w:val="32"/>
      <w:szCs w:val="32"/>
    </w:rPr>
  </w:style>
  <w:style w:type="paragraph" w:customStyle="1" w:styleId="33">
    <w:name w:val="BodyText"/>
    <w:basedOn w:val="1"/>
    <w:next w:val="4"/>
    <w:qFormat/>
    <w:uiPriority w:val="0"/>
    <w:pPr>
      <w:spacing w:after="120"/>
      <w:jc w:val="both"/>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8410</Words>
  <Characters>8800</Characters>
  <Lines>0</Lines>
  <Paragraphs>0</Paragraphs>
  <TotalTime>12</TotalTime>
  <ScaleCrop>false</ScaleCrop>
  <LinksUpToDate>false</LinksUpToDate>
  <CharactersWithSpaces>8804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2022-11-11T08:57:00Z</dcterms:created>
  <dc:creator>Administrator</dc:creator>
  <cp:lastModifiedBy>陈大勇</cp:lastModifiedBy>
  <cp:lastPrinted>2025-02-08T09:33:00Z</cp:lastPrinted>
  <dcterms:modified xsi:type="dcterms:W3CDTF">2025-04-22T02:56:18Z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08274C0F5C88428F9365D2C6C8C3E8A8_13</vt:lpwstr>
  </property>
  <property fmtid="{D5CDD505-2E9C-101B-9397-08002B2CF9AE}" pid="4" name="KSOTemplateDocerSaveRecord">
    <vt:lpwstr>eyJoZGlkIjoiZGJkNmNiMzBlODdkNzcwMGZkMTMzYWNlNDQ5NjZjMGIiLCJ1c2VySWQiOiIyODYyNDEzMzgifQ==</vt:lpwstr>
  </property>
</Properties>
</file>