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E6F9D">
      <w:pPr>
        <w:pStyle w:val="16"/>
        <w:spacing w:line="680" w:lineRule="exact"/>
        <w:jc w:val="left"/>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rPr>
        <w:t>附件</w:t>
      </w:r>
    </w:p>
    <w:p w14:paraId="373010F2">
      <w:pPr>
        <w:pStyle w:val="16"/>
        <w:spacing w:line="680" w:lineRule="exact"/>
        <w:jc w:val="left"/>
        <w:rPr>
          <w:rFonts w:hint="eastAsia" w:ascii="黑体" w:hAnsi="黑体" w:eastAsia="黑体" w:cs="黑体"/>
          <w:color w:val="auto"/>
          <w:kern w:val="2"/>
          <w:sz w:val="32"/>
          <w:szCs w:val="32"/>
        </w:rPr>
      </w:pPr>
    </w:p>
    <w:p w14:paraId="07C12C7D">
      <w:pPr>
        <w:pStyle w:val="15"/>
        <w:keepNext w:val="0"/>
        <w:keepLines w:val="0"/>
        <w:pageBreakBefore w:val="0"/>
        <w:widowControl/>
        <w:numPr>
          <w:ilvl w:val="0"/>
          <w:numId w:val="0"/>
        </w:numPr>
        <w:kinsoku/>
        <w:wordWrap/>
        <w:overflowPunct/>
        <w:topLinePunct w:val="0"/>
        <w:autoSpaceDE/>
        <w:autoSpaceDN w:val="0"/>
        <w:bidi w:val="0"/>
        <w:adjustRightInd/>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kern w:val="2"/>
          <w:sz w:val="44"/>
          <w:szCs w:val="44"/>
          <w:lang w:val="en-US" w:eastAsia="zh-CN" w:bidi="ar-SA"/>
        </w:rPr>
      </w:pPr>
      <w:bookmarkStart w:id="0" w:name="_GoBack"/>
      <w:bookmarkEnd w:id="0"/>
      <w:r>
        <w:rPr>
          <w:rFonts w:hint="default" w:ascii="方正小标宋_GBK" w:hAnsi="方正小标宋_GBK" w:eastAsia="方正小标宋_GBK" w:cs="方正小标宋_GBK"/>
          <w:b w:val="0"/>
          <w:bCs w:val="0"/>
          <w:color w:val="auto"/>
          <w:kern w:val="2"/>
          <w:sz w:val="44"/>
          <w:szCs w:val="44"/>
          <w:lang w:val="en-US" w:eastAsia="zh-CN" w:bidi="ar-SA"/>
        </w:rPr>
        <w:t>雁山区202</w:t>
      </w:r>
      <w:r>
        <w:rPr>
          <w:rFonts w:hint="eastAsia" w:ascii="方正小标宋_GBK" w:hAnsi="方正小标宋_GBK" w:eastAsia="方正小标宋_GBK" w:cs="方正小标宋_GBK"/>
          <w:b w:val="0"/>
          <w:bCs w:val="0"/>
          <w:color w:val="auto"/>
          <w:kern w:val="2"/>
          <w:sz w:val="44"/>
          <w:szCs w:val="44"/>
          <w:lang w:val="en-US" w:eastAsia="zh-CN" w:bidi="ar-SA"/>
        </w:rPr>
        <w:t>4</w:t>
      </w:r>
      <w:r>
        <w:rPr>
          <w:rFonts w:hint="default" w:ascii="方正小标宋_GBK" w:hAnsi="方正小标宋_GBK" w:eastAsia="方正小标宋_GBK" w:cs="方正小标宋_GBK"/>
          <w:b w:val="0"/>
          <w:bCs w:val="0"/>
          <w:color w:val="auto"/>
          <w:kern w:val="2"/>
          <w:sz w:val="44"/>
          <w:szCs w:val="44"/>
          <w:lang w:val="en-US" w:eastAsia="zh-CN" w:bidi="ar-SA"/>
        </w:rPr>
        <w:t>年财政衔接推进乡村振兴补助资金</w:t>
      </w:r>
    </w:p>
    <w:p w14:paraId="49B02C91">
      <w:pPr>
        <w:pStyle w:val="15"/>
        <w:keepNext w:val="0"/>
        <w:keepLines w:val="0"/>
        <w:pageBreakBefore w:val="0"/>
        <w:widowControl/>
        <w:numPr>
          <w:ilvl w:val="0"/>
          <w:numId w:val="0"/>
        </w:numPr>
        <w:kinsoku/>
        <w:wordWrap/>
        <w:overflowPunct/>
        <w:topLinePunct w:val="0"/>
        <w:autoSpaceDE/>
        <w:autoSpaceDN w:val="0"/>
        <w:bidi w:val="0"/>
        <w:adjustRightInd/>
        <w:snapToGrid w:val="0"/>
        <w:spacing w:line="64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部分项目资金（第二次）</w:t>
      </w:r>
      <w:r>
        <w:rPr>
          <w:rFonts w:hint="default" w:ascii="方正小标宋_GBK" w:hAnsi="方正小标宋_GBK" w:eastAsia="方正小标宋_GBK" w:cs="方正小标宋_GBK"/>
          <w:b w:val="0"/>
          <w:bCs w:val="0"/>
          <w:color w:val="auto"/>
          <w:kern w:val="2"/>
          <w:sz w:val="44"/>
          <w:szCs w:val="44"/>
          <w:lang w:val="en-US" w:eastAsia="zh-CN" w:bidi="ar-SA"/>
        </w:rPr>
        <w:t>调整方案</w:t>
      </w:r>
    </w:p>
    <w:p w14:paraId="5F719F5D">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left="0" w:right="0" w:rightChars="0" w:firstLine="664" w:firstLineChars="200"/>
        <w:jc w:val="left"/>
        <w:textAlignment w:val="auto"/>
        <w:outlineLvl w:val="9"/>
        <w:rPr>
          <w:rFonts w:hint="default" w:ascii="Times New Roman" w:hAnsi="Times New Roman" w:eastAsia="仿宋_GB2312" w:cs="Times New Roman"/>
          <w:sz w:val="32"/>
          <w:szCs w:val="32"/>
          <w:lang w:eastAsia="zh-CN"/>
        </w:rPr>
      </w:pPr>
    </w:p>
    <w:p w14:paraId="7F905FC5">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为做好雁山区乡村振兴工作，推进项目顺利开展，同时加快衔接资金支出进度，使财政衔接推进乡村振兴补助资金能够更快更好地发挥效益，结合我区项目的实际情况，在保证资金使用规范的前提下，拟定了雁山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年财政衔接推进乡村振兴补助资金</w:t>
      </w:r>
      <w:r>
        <w:rPr>
          <w:rFonts w:hint="eastAsia" w:ascii="Times New Roman" w:hAnsi="Times New Roman" w:eastAsia="仿宋_GB2312" w:cs="Times New Roman"/>
          <w:sz w:val="32"/>
          <w:szCs w:val="32"/>
          <w:lang w:val="en-US" w:eastAsia="zh-CN"/>
        </w:rPr>
        <w:t>部分项目</w:t>
      </w:r>
      <w:r>
        <w:rPr>
          <w:rFonts w:hint="default"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的资金</w:t>
      </w:r>
      <w:r>
        <w:rPr>
          <w:rFonts w:hint="default" w:ascii="Times New Roman" w:hAnsi="Times New Roman" w:eastAsia="仿宋_GB2312" w:cs="Times New Roman"/>
          <w:sz w:val="32"/>
          <w:szCs w:val="32"/>
          <w:lang w:eastAsia="zh-CN"/>
        </w:rPr>
        <w:t>调整方案，</w:t>
      </w:r>
      <w:r>
        <w:rPr>
          <w:rFonts w:hint="default" w:ascii="Times New Roman" w:hAnsi="Times New Roman" w:eastAsia="仿宋_GB2312" w:cs="Times New Roman"/>
          <w:color w:val="auto"/>
          <w:sz w:val="32"/>
          <w:szCs w:val="32"/>
          <w:lang w:eastAsia="zh-CN"/>
        </w:rPr>
        <w:t>具体方案</w:t>
      </w:r>
      <w:r>
        <w:rPr>
          <w:rFonts w:hint="default" w:ascii="Times New Roman" w:hAnsi="Times New Roman" w:eastAsia="仿宋_GB2312" w:cs="Times New Roman"/>
          <w:color w:val="auto"/>
          <w:sz w:val="32"/>
          <w:szCs w:val="32"/>
          <w:lang w:val="en-US" w:eastAsia="zh-CN"/>
        </w:rPr>
        <w:t>制定如下：</w:t>
      </w:r>
    </w:p>
    <w:p w14:paraId="2F90ADD0">
      <w:pPr>
        <w:pStyle w:val="15"/>
        <w:keepNext w:val="0"/>
        <w:keepLines w:val="0"/>
        <w:pageBreakBefore w:val="0"/>
        <w:widowControl w:val="0"/>
        <w:numPr>
          <w:ilvl w:val="0"/>
          <w:numId w:val="1"/>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调出原已</w:t>
      </w:r>
      <w:r>
        <w:rPr>
          <w:rFonts w:hint="eastAsia" w:ascii="Times New Roman" w:hAnsi="Times New Roman" w:eastAsia="黑体" w:cs="Times New Roman"/>
          <w:color w:val="auto"/>
          <w:sz w:val="32"/>
          <w:szCs w:val="32"/>
          <w:lang w:val="en-US" w:eastAsia="zh-CN"/>
        </w:rPr>
        <w:t>安排</w:t>
      </w:r>
      <w:r>
        <w:rPr>
          <w:rFonts w:hint="default" w:ascii="Times New Roman" w:hAnsi="Times New Roman" w:eastAsia="黑体" w:cs="Times New Roman"/>
          <w:color w:val="auto"/>
          <w:sz w:val="32"/>
          <w:szCs w:val="32"/>
          <w:lang w:val="en-US" w:eastAsia="zh-CN"/>
        </w:rPr>
        <w:t>项目资金</w:t>
      </w:r>
      <w:r>
        <w:rPr>
          <w:rFonts w:hint="eastAsia" w:ascii="Times New Roman" w:hAnsi="Times New Roman" w:eastAsia="黑体" w:cs="Times New Roman"/>
          <w:color w:val="auto"/>
          <w:sz w:val="32"/>
          <w:szCs w:val="32"/>
          <w:lang w:val="en-US" w:eastAsia="zh-CN"/>
        </w:rPr>
        <w:t>130.504</w:t>
      </w:r>
      <w:r>
        <w:rPr>
          <w:rFonts w:hint="eastAsia" w:ascii="黑体" w:hAnsi="黑体" w:eastAsia="黑体" w:cs="黑体"/>
          <w:color w:val="auto"/>
          <w:sz w:val="32"/>
          <w:szCs w:val="32"/>
          <w:lang w:val="en-US" w:eastAsia="zh-CN"/>
        </w:rPr>
        <w:t>万元</w:t>
      </w:r>
    </w:p>
    <w:p w14:paraId="75AD50D6">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3个项目资金短期不需支出，调出资金130.504万元：</w:t>
      </w:r>
    </w:p>
    <w:p w14:paraId="1FFBB1E1">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1.大埠乡付上全家村农业设施630KVA配电工程项目，项目预算价75.47万元，原已安排资金37.73万元，本次调出37.73万元；</w:t>
      </w:r>
    </w:p>
    <w:p w14:paraId="22A8BD7F">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2.2024年乡村建设公益性岗位项目，项目预算价480万元，原已安排资金370.83万元，本次调出92.774万元；</w:t>
      </w:r>
    </w:p>
    <w:p w14:paraId="7406E237">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3.2024年雁山区易地搬迁集中安置点乡村建设公益性岗位（易安后扶），项目预算价10.5万元，原已安排资金10.5万元，本次调出5.25万元；</w:t>
      </w:r>
    </w:p>
    <w:p w14:paraId="2B9F94F9">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left="0" w:right="0" w:rightChars="0" w:firstLine="664"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Times New Roman" w:hAnsi="Times New Roman" w:eastAsia="黑体" w:cs="Times New Roman"/>
          <w:color w:val="auto"/>
          <w:sz w:val="32"/>
          <w:szCs w:val="32"/>
          <w:lang w:val="en-US" w:eastAsia="zh-CN"/>
        </w:rPr>
        <w:t>调出</w:t>
      </w:r>
      <w:r>
        <w:rPr>
          <w:rFonts w:hint="default" w:ascii="Times New Roman" w:hAnsi="Times New Roman" w:eastAsia="黑体" w:cs="Times New Roman"/>
          <w:color w:val="auto"/>
          <w:sz w:val="32"/>
          <w:szCs w:val="32"/>
          <w:lang w:val="en-US" w:eastAsia="zh-CN"/>
        </w:rPr>
        <w:t>资金</w:t>
      </w:r>
      <w:r>
        <w:rPr>
          <w:rFonts w:hint="eastAsia" w:ascii="Times New Roman" w:hAnsi="Times New Roman" w:eastAsia="黑体" w:cs="Times New Roman"/>
          <w:color w:val="auto"/>
          <w:sz w:val="32"/>
          <w:szCs w:val="32"/>
          <w:lang w:val="en-US" w:eastAsia="zh-CN"/>
        </w:rPr>
        <w:t>130.504</w:t>
      </w:r>
      <w:r>
        <w:rPr>
          <w:rFonts w:hint="eastAsia" w:ascii="黑体" w:hAnsi="黑体" w:eastAsia="黑体" w:cs="黑体"/>
          <w:color w:val="auto"/>
          <w:sz w:val="32"/>
          <w:szCs w:val="32"/>
          <w:lang w:val="en-US" w:eastAsia="zh-CN"/>
        </w:rPr>
        <w:t>万元项目计划</w:t>
      </w:r>
    </w:p>
    <w:p w14:paraId="44F814C9">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left="0" w:right="0" w:rightChars="0" w:firstLine="664"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本批</w:t>
      </w:r>
      <w:r>
        <w:rPr>
          <w:rFonts w:hint="eastAsia" w:ascii="Times New Roman" w:hAnsi="Times New Roman" w:eastAsia="仿宋_GB2312" w:cs="Times New Roman"/>
          <w:color w:val="auto"/>
          <w:sz w:val="32"/>
          <w:szCs w:val="32"/>
          <w:lang w:val="en-US" w:eastAsia="zh-CN"/>
        </w:rPr>
        <w:t>调出</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共130.504万元，安排用于雁山区万亩现代设施农业基地大埠园区一期项目工程，</w:t>
      </w:r>
      <w:r>
        <w:rPr>
          <w:rFonts w:hint="default" w:ascii="Times New Roman" w:hAnsi="Times New Roman" w:eastAsia="仿宋_GB2312" w:cs="Times New Roman"/>
          <w:color w:val="auto"/>
          <w:sz w:val="32"/>
          <w:szCs w:val="32"/>
          <w:lang w:val="en-US" w:eastAsia="zh-CN"/>
        </w:rPr>
        <w:t>具体</w:t>
      </w:r>
      <w:r>
        <w:rPr>
          <w:rFonts w:hint="eastAsia" w:ascii="Times New Roman" w:hAnsi="Times New Roman" w:eastAsia="仿宋_GB2312" w:cs="Times New Roman"/>
          <w:color w:val="auto"/>
          <w:sz w:val="32"/>
          <w:szCs w:val="32"/>
          <w:lang w:val="en-US" w:eastAsia="zh-CN"/>
        </w:rPr>
        <w:t>资金项目调整</w:t>
      </w:r>
      <w:r>
        <w:rPr>
          <w:rFonts w:hint="default" w:ascii="Times New Roman" w:hAnsi="Times New Roman" w:eastAsia="仿宋_GB2312" w:cs="Times New Roman"/>
          <w:color w:val="auto"/>
          <w:sz w:val="32"/>
          <w:szCs w:val="32"/>
          <w:lang w:val="en-US" w:eastAsia="zh-CN"/>
        </w:rPr>
        <w:t>详见附表1</w:t>
      </w:r>
      <w:r>
        <w:rPr>
          <w:rFonts w:hint="eastAsia" w:ascii="Times New Roman" w:hAnsi="Times New Roman" w:eastAsia="仿宋_GB2312" w:cs="Times New Roman"/>
          <w:color w:val="auto"/>
          <w:sz w:val="32"/>
          <w:szCs w:val="32"/>
          <w:lang w:val="en-US" w:eastAsia="zh-CN"/>
        </w:rPr>
        <w:t>。</w:t>
      </w:r>
    </w:p>
    <w:p w14:paraId="2FDD16E1">
      <w:pPr>
        <w:pStyle w:val="15"/>
        <w:keepNext w:val="0"/>
        <w:keepLines w:val="0"/>
        <w:pageBreakBefore w:val="0"/>
        <w:widowControl w:val="0"/>
        <w:numPr>
          <w:ilvl w:val="0"/>
          <w:numId w:val="2"/>
        </w:numPr>
        <w:kinsoku/>
        <w:wordWrap/>
        <w:overflowPunct/>
        <w:topLinePunct w:val="0"/>
        <w:autoSpaceDE/>
        <w:autoSpaceDN w:val="0"/>
        <w:bidi w:val="0"/>
        <w:adjustRightInd/>
        <w:snapToGrid w:val="0"/>
        <w:spacing w:line="586" w:lineRule="exact"/>
        <w:ind w:right="0" w:rightChars="0" w:firstLine="664"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项目实施要求</w:t>
      </w:r>
    </w:p>
    <w:p w14:paraId="49D4E0BD">
      <w:pPr>
        <w:pStyle w:val="15"/>
        <w:keepNext w:val="0"/>
        <w:keepLines w:val="0"/>
        <w:pageBreakBefore w:val="0"/>
        <w:kinsoku/>
        <w:wordWrap/>
        <w:overflowPunct/>
        <w:topLinePunct w:val="0"/>
        <w:autoSpaceDE/>
        <w:autoSpaceDN w:val="0"/>
        <w:bidi w:val="0"/>
        <w:adjustRightInd/>
        <w:spacing w:line="586" w:lineRule="exact"/>
        <w:ind w:right="0" w:rightChars="0" w:firstLine="640" w:firstLineChars="200"/>
        <w:textAlignment w:val="auto"/>
        <w:rPr>
          <w:rFonts w:hint="eastAsia" w:ascii="Times New Roman" w:hAnsi="Times New Roman" w:eastAsia="仿宋_GB2312" w:cs="Times New Roman"/>
          <w:b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i w:val="0"/>
          <w:caps w:val="0"/>
          <w:color w:val="auto"/>
          <w:spacing w:val="0"/>
          <w:sz w:val="32"/>
          <w:szCs w:val="32"/>
          <w:shd w:val="clear" w:color="auto" w:fill="FFFFFF"/>
          <w:lang w:val="en-US" w:eastAsia="zh-CN"/>
        </w:rPr>
        <w:t>项目业主</w:t>
      </w:r>
      <w:r>
        <w:rPr>
          <w:rFonts w:hint="eastAsia" w:ascii="Times New Roman" w:hAnsi="Times New Roman" w:eastAsia="仿宋_GB2312" w:cs="Times New Roman"/>
          <w:b w:val="0"/>
          <w:i w:val="0"/>
          <w:caps w:val="0"/>
          <w:color w:val="auto"/>
          <w:spacing w:val="0"/>
          <w:sz w:val="32"/>
          <w:szCs w:val="32"/>
          <w:shd w:val="clear" w:color="auto" w:fill="FFFFFF"/>
          <w:lang w:val="en-US" w:eastAsia="zh-CN"/>
        </w:rPr>
        <w:t>要有序推进项目实施</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w:t>
      </w:r>
      <w:r>
        <w:rPr>
          <w:rFonts w:hint="eastAsia" w:ascii="Times New Roman" w:hAnsi="Times New Roman" w:eastAsia="仿宋_GB2312" w:cs="Times New Roman"/>
          <w:b w:val="0"/>
          <w:i w:val="0"/>
          <w:caps w:val="0"/>
          <w:color w:val="auto"/>
          <w:spacing w:val="0"/>
          <w:sz w:val="32"/>
          <w:szCs w:val="32"/>
          <w:shd w:val="clear" w:color="auto" w:fill="FFFFFF"/>
          <w:lang w:val="en-US" w:eastAsia="zh-CN"/>
        </w:rPr>
        <w:t>并按工期进度及时组织报账材料，确保资金及时支出；</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项目主管单位负责做好项目工作的指导监督工作。</w:t>
      </w:r>
    </w:p>
    <w:p w14:paraId="7C9BD942">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right="0" w:rightChars="0"/>
        <w:jc w:val="left"/>
        <w:textAlignment w:val="auto"/>
        <w:outlineLvl w:val="9"/>
        <w:rPr>
          <w:rFonts w:hint="default" w:ascii="Times New Roman" w:hAnsi="Times New Roman" w:eastAsia="仿宋_GB2312" w:cs="Times New Roman"/>
          <w:b w:val="0"/>
          <w:i w:val="0"/>
          <w:caps w:val="0"/>
          <w:color w:val="auto"/>
          <w:spacing w:val="0"/>
          <w:sz w:val="32"/>
          <w:szCs w:val="32"/>
          <w:shd w:val="clear" w:color="auto" w:fill="FFFFFF"/>
          <w:lang w:val="en-US" w:eastAsia="zh-CN"/>
        </w:rPr>
      </w:pPr>
    </w:p>
    <w:p w14:paraId="4F6FD3E4">
      <w:pPr>
        <w:pStyle w:val="15"/>
        <w:keepNext w:val="0"/>
        <w:keepLines w:val="0"/>
        <w:pageBreakBefore w:val="0"/>
        <w:widowControl w:val="0"/>
        <w:numPr>
          <w:ilvl w:val="0"/>
          <w:numId w:val="0"/>
        </w:numPr>
        <w:kinsoku/>
        <w:wordWrap/>
        <w:overflowPunct/>
        <w:topLinePunct w:val="0"/>
        <w:autoSpaceDE/>
        <w:autoSpaceDN w:val="0"/>
        <w:bidi w:val="0"/>
        <w:adjustRightInd/>
        <w:snapToGrid w:val="0"/>
        <w:spacing w:line="586" w:lineRule="exact"/>
        <w:ind w:left="2003" w:leftChars="304" w:right="0" w:rightChars="0" w:hanging="1328" w:hangingChars="4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：1.雁山区2024年提前批中央和自治区财政衔接推进乡村振兴补助资金部分项目资金调整变更表</w:t>
      </w:r>
    </w:p>
    <w:p w14:paraId="1A5393E1">
      <w:pPr>
        <w:rPr>
          <w:rFonts w:hint="default"/>
          <w:lang w:val="en-US" w:eastAsia="zh-CN"/>
        </w:rPr>
      </w:pPr>
    </w:p>
    <w:sectPr>
      <w:headerReference r:id="rId5" w:type="first"/>
      <w:footerReference r:id="rId8" w:type="first"/>
      <w:footerReference r:id="rId6" w:type="default"/>
      <w:footerReference r:id="rId7" w:type="even"/>
      <w:pgSz w:w="11906" w:h="16838"/>
      <w:pgMar w:top="2098" w:right="1304" w:bottom="1304" w:left="1417" w:header="851" w:footer="1134" w:gutter="0"/>
      <w:cols w:space="720" w:num="1"/>
      <w:titlePg/>
      <w:rtlGutter w:val="0"/>
      <w:docGrid w:type="lines" w:linePitch="40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0C99">
    <w:pPr>
      <w:pStyle w:val="6"/>
      <w:wordWrap w:val="0"/>
      <w:jc w:val="right"/>
      <w:rPr>
        <w:rFonts w:hint="eastAsia" w:eastAsia="宋体"/>
        <w:lang w:eastAsia="zh-CN"/>
      </w:rPr>
    </w:pPr>
    <w:r>
      <w:rPr>
        <w:rFonts w:hint="default" w:ascii="Times New Roman" w:hAnsi="Times New Roman" w:eastAsia="宋体"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13"/>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13"/>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28A4">
    <w:pPr>
      <w:pStyle w:val="6"/>
      <w:tabs>
        <w:tab w:val="left" w:pos="1260"/>
        <w:tab w:val="clear" w:pos="4153"/>
        <w:tab w:val="clear" w:pos="8306"/>
      </w:tabs>
      <w:ind w:right="36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13"/>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13"/>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D79A">
    <w:pPr>
      <w:pStyle w:val="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E1DE">
    <w:pPr>
      <w:pStyle w:val="7"/>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B03EC"/>
    <w:multiLevelType w:val="singleLevel"/>
    <w:tmpl w:val="FC7B03EC"/>
    <w:lvl w:ilvl="0" w:tentative="0">
      <w:start w:val="1"/>
      <w:numFmt w:val="chineseCounting"/>
      <w:suff w:val="nothing"/>
      <w:lvlText w:val="%1、"/>
      <w:lvlJc w:val="left"/>
      <w:rPr>
        <w:rFonts w:hint="eastAsia"/>
      </w:rPr>
    </w:lvl>
  </w:abstractNum>
  <w:abstractNum w:abstractNumId="1">
    <w:nsid w:val="55137241"/>
    <w:multiLevelType w:val="singleLevel"/>
    <w:tmpl w:val="5513724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ODc0YzRkOGY4YjQ3M2VkMGM1YTExYmMyOTEyMTUifQ=="/>
  </w:docVars>
  <w:rsids>
    <w:rsidRoot w:val="0BB40DEE"/>
    <w:rsid w:val="009510F6"/>
    <w:rsid w:val="023F1319"/>
    <w:rsid w:val="07FC0BA5"/>
    <w:rsid w:val="0953612A"/>
    <w:rsid w:val="0AB42485"/>
    <w:rsid w:val="0BB40DEE"/>
    <w:rsid w:val="0CA012DB"/>
    <w:rsid w:val="0E80126D"/>
    <w:rsid w:val="108A1444"/>
    <w:rsid w:val="10C83037"/>
    <w:rsid w:val="111C3093"/>
    <w:rsid w:val="13631542"/>
    <w:rsid w:val="14553B17"/>
    <w:rsid w:val="14AD3BD1"/>
    <w:rsid w:val="1AB2314B"/>
    <w:rsid w:val="1D52734B"/>
    <w:rsid w:val="1EED4D15"/>
    <w:rsid w:val="1FA85442"/>
    <w:rsid w:val="214642EC"/>
    <w:rsid w:val="22516161"/>
    <w:rsid w:val="22C6104D"/>
    <w:rsid w:val="25183D3E"/>
    <w:rsid w:val="25337C48"/>
    <w:rsid w:val="2D03273D"/>
    <w:rsid w:val="2E385BE3"/>
    <w:rsid w:val="2EBA571D"/>
    <w:rsid w:val="2F8C62C3"/>
    <w:rsid w:val="31213B7B"/>
    <w:rsid w:val="33450CED"/>
    <w:rsid w:val="391E3873"/>
    <w:rsid w:val="3B2418A1"/>
    <w:rsid w:val="3BDD6EA8"/>
    <w:rsid w:val="41375251"/>
    <w:rsid w:val="43BE4FF0"/>
    <w:rsid w:val="457601F0"/>
    <w:rsid w:val="480B5A28"/>
    <w:rsid w:val="4AEB2A45"/>
    <w:rsid w:val="4D964CB5"/>
    <w:rsid w:val="4E21228A"/>
    <w:rsid w:val="509C6820"/>
    <w:rsid w:val="528D7184"/>
    <w:rsid w:val="54D05C8F"/>
    <w:rsid w:val="55CC4CE0"/>
    <w:rsid w:val="58F22CAF"/>
    <w:rsid w:val="59786F5D"/>
    <w:rsid w:val="5DD54007"/>
    <w:rsid w:val="5DFB20B2"/>
    <w:rsid w:val="63B94B09"/>
    <w:rsid w:val="66E54901"/>
    <w:rsid w:val="67FC7DDD"/>
    <w:rsid w:val="683C3F47"/>
    <w:rsid w:val="6C8506D4"/>
    <w:rsid w:val="6D0C622E"/>
    <w:rsid w:val="6F3F6820"/>
    <w:rsid w:val="70207CAA"/>
    <w:rsid w:val="70CC7B8B"/>
    <w:rsid w:val="71924BD7"/>
    <w:rsid w:val="72974B92"/>
    <w:rsid w:val="733D24C6"/>
    <w:rsid w:val="743E47E3"/>
    <w:rsid w:val="751911FC"/>
    <w:rsid w:val="757042FA"/>
    <w:rsid w:val="78BF3DA2"/>
    <w:rsid w:val="7A9545AF"/>
    <w:rsid w:val="7EC23178"/>
    <w:rsid w:val="7FF7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宋体" w:cstheme="minorBidi"/>
      <w:spacing w:val="6"/>
      <w:kern w:val="2"/>
      <w:sz w:val="21"/>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Body Text Indent"/>
    <w:basedOn w:val="1"/>
    <w:next w:val="4"/>
    <w:qFormat/>
    <w:uiPriority w:val="0"/>
    <w:pPr>
      <w:ind w:left="1596" w:hanging="969"/>
    </w:pPr>
  </w:style>
  <w:style w:type="paragraph" w:styleId="4">
    <w:name w:val="envelope return"/>
    <w:basedOn w:val="1"/>
    <w:qFormat/>
    <w:uiPriority w:val="0"/>
    <w:rPr>
      <w:rFonts w:ascii="Arial" w:hAnsi="Arial"/>
    </w:rPr>
  </w:style>
  <w:style w:type="paragraph" w:styleId="5">
    <w:name w:val="Block Text"/>
    <w:basedOn w:val="1"/>
    <w:next w:val="1"/>
    <w:qFormat/>
    <w:uiPriority w:val="0"/>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jc w:val="center"/>
    </w:pPr>
    <w:rPr>
      <w:sz w:val="18"/>
      <w:szCs w:val="18"/>
    </w:rPr>
  </w:style>
  <w:style w:type="paragraph" w:styleId="8">
    <w:name w:val="Normal (Web)"/>
    <w:basedOn w:val="1"/>
    <w:qFormat/>
    <w:uiPriority w:val="0"/>
    <w:pPr>
      <w:widowControl/>
      <w:autoSpaceDE/>
      <w:autoSpaceDN/>
      <w:adjustRightInd/>
      <w:snapToGrid/>
      <w:spacing w:before="100" w:beforeAutospacing="1" w:after="100" w:afterAutospacing="1" w:line="240" w:lineRule="auto"/>
      <w:jc w:val="left"/>
    </w:pPr>
    <w:rPr>
      <w:rFonts w:eastAsia="宋体"/>
      <w:spacing w:val="0"/>
      <w:kern w:val="0"/>
      <w:sz w:val="24"/>
    </w:rPr>
  </w:style>
  <w:style w:type="paragraph" w:styleId="9">
    <w:name w:val="Body Text First Indent 2"/>
    <w:basedOn w:val="3"/>
    <w:next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Body Text First Indent"/>
    <w:basedOn w:val="2"/>
    <w:next w:val="1"/>
    <w:qFormat/>
    <w:uiPriority w:val="0"/>
    <w:pPr>
      <w:ind w:firstLine="883"/>
    </w:pPr>
    <w:rPr>
      <w:rFonts w:ascii="Times New Roman" w:hAnsi="Times New Roman" w:eastAsia="宋体" w:cs="Times New Roman"/>
    </w:rPr>
  </w:style>
  <w:style w:type="paragraph" w:customStyle="1" w:styleId="15">
    <w:name w:val="p15"/>
    <w:basedOn w:val="1"/>
    <w:qFormat/>
    <w:uiPriority w:val="0"/>
    <w:pPr>
      <w:widowControl/>
      <w:snapToGrid w:val="0"/>
      <w:jc w:val="left"/>
    </w:pPr>
    <w:rPr>
      <w:rFonts w:ascii="方正小标宋简体" w:hAnsi="方正小标宋简体" w:cs="宋体"/>
      <w:color w:val="000000"/>
      <w:kern w:val="0"/>
      <w:sz w:val="24"/>
    </w:rPr>
  </w:style>
  <w:style w:type="paragraph" w:customStyle="1" w:styleId="16">
    <w:name w:val="p0"/>
    <w:basedOn w:val="1"/>
    <w:qFormat/>
    <w:uiPriority w:val="0"/>
    <w:pPr>
      <w:widowControl/>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雁山区</Company>
  <Pages>2</Pages>
  <Words>522</Words>
  <Characters>605</Characters>
  <Lines>0</Lines>
  <Paragraphs>0</Paragraphs>
  <TotalTime>0</TotalTime>
  <ScaleCrop>false</ScaleCrop>
  <LinksUpToDate>false</LinksUpToDate>
  <CharactersWithSpaces>605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2021-11-08T03:54:00Z</dcterms:created>
  <dc:creator>Administrator</dc:creator>
  <cp:lastModifiedBy>扶贫办</cp:lastModifiedBy>
  <cp:lastPrinted>2024-06-18T06:43:00Z</cp:lastPrinted>
  <dcterms:modified xsi:type="dcterms:W3CDTF">2024-10-22T03:22:28Z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749B2655A0BF4D01B501291BF85900C5</vt:lpwstr>
  </property>
</Properties>
</file>